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AE21F">
      <w:pPr>
        <w:spacing w:line="240" w:lineRule="auto"/>
        <w:jc w:val="center"/>
        <w:rPr>
          <w:b/>
          <w:bCs/>
          <w:color w:val="FF0000"/>
          <w:sz w:val="24"/>
          <w:szCs w:val="28"/>
        </w:rPr>
      </w:pPr>
      <w:r>
        <w:rPr>
          <w:rFonts w:hint="eastAsia"/>
          <w:b/>
          <w:bCs/>
          <w:color w:val="FF0000"/>
          <w:sz w:val="60"/>
          <w:szCs w:val="72"/>
        </w:rPr>
        <w:t>珠</w:t>
      </w:r>
      <w:r>
        <w:rPr>
          <w:rFonts w:hint="eastAsia"/>
          <w:b/>
          <w:bCs/>
          <w:color w:val="FF0000"/>
          <w:sz w:val="60"/>
          <w:szCs w:val="72"/>
          <w:lang w:val="en-US" w:eastAsia="zh-CN"/>
        </w:rPr>
        <w:t xml:space="preserve"> </w:t>
      </w:r>
      <w:r>
        <w:rPr>
          <w:rFonts w:hint="eastAsia"/>
          <w:b/>
          <w:bCs/>
          <w:color w:val="FF0000"/>
          <w:sz w:val="60"/>
          <w:szCs w:val="72"/>
        </w:rPr>
        <w:t>海</w:t>
      </w:r>
      <w:r>
        <w:rPr>
          <w:rFonts w:hint="eastAsia"/>
          <w:b/>
          <w:bCs/>
          <w:color w:val="FF0000"/>
          <w:sz w:val="60"/>
          <w:szCs w:val="72"/>
          <w:lang w:val="en-US" w:eastAsia="zh-CN"/>
        </w:rPr>
        <w:t xml:space="preserve"> </w:t>
      </w:r>
      <w:r>
        <w:rPr>
          <w:rFonts w:hint="eastAsia"/>
          <w:b/>
          <w:bCs/>
          <w:color w:val="FF0000"/>
          <w:sz w:val="60"/>
          <w:szCs w:val="72"/>
        </w:rPr>
        <w:t>市</w:t>
      </w:r>
      <w:r>
        <w:rPr>
          <w:rFonts w:hint="eastAsia"/>
          <w:b/>
          <w:bCs/>
          <w:color w:val="FF0000"/>
          <w:sz w:val="60"/>
          <w:szCs w:val="72"/>
          <w:lang w:val="en-US" w:eastAsia="zh-CN"/>
        </w:rPr>
        <w:t xml:space="preserve"> </w:t>
      </w:r>
      <w:r>
        <w:rPr>
          <w:rFonts w:hint="eastAsia"/>
          <w:b/>
          <w:bCs/>
          <w:color w:val="FF0000"/>
          <w:sz w:val="60"/>
          <w:szCs w:val="72"/>
        </w:rPr>
        <w:t>建</w:t>
      </w:r>
      <w:r>
        <w:rPr>
          <w:rFonts w:hint="eastAsia"/>
          <w:b/>
          <w:bCs/>
          <w:color w:val="FF0000"/>
          <w:sz w:val="60"/>
          <w:szCs w:val="72"/>
          <w:lang w:val="en-US" w:eastAsia="zh-CN"/>
        </w:rPr>
        <w:t xml:space="preserve"> </w:t>
      </w:r>
      <w:r>
        <w:rPr>
          <w:rFonts w:hint="eastAsia"/>
          <w:b/>
          <w:bCs/>
          <w:color w:val="FF0000"/>
          <w:sz w:val="60"/>
          <w:szCs w:val="72"/>
        </w:rPr>
        <w:t>设</w:t>
      </w:r>
      <w:r>
        <w:rPr>
          <w:rFonts w:hint="eastAsia"/>
          <w:b/>
          <w:bCs/>
          <w:color w:val="FF0000"/>
          <w:sz w:val="60"/>
          <w:szCs w:val="72"/>
          <w:lang w:val="en-US" w:eastAsia="zh-CN"/>
        </w:rPr>
        <w:t xml:space="preserve"> </w:t>
      </w:r>
      <w:r>
        <w:rPr>
          <w:rFonts w:hint="eastAsia"/>
          <w:b/>
          <w:bCs/>
          <w:color w:val="FF0000"/>
          <w:sz w:val="60"/>
          <w:szCs w:val="72"/>
        </w:rPr>
        <w:t>监</w:t>
      </w:r>
      <w:r>
        <w:rPr>
          <w:rFonts w:hint="eastAsia"/>
          <w:b/>
          <w:bCs/>
          <w:color w:val="FF0000"/>
          <w:sz w:val="60"/>
          <w:szCs w:val="72"/>
          <w:lang w:val="en-US" w:eastAsia="zh-CN"/>
        </w:rPr>
        <w:t xml:space="preserve"> </w:t>
      </w:r>
      <w:r>
        <w:rPr>
          <w:rFonts w:hint="eastAsia"/>
          <w:b/>
          <w:bCs/>
          <w:color w:val="FF0000"/>
          <w:sz w:val="60"/>
          <w:szCs w:val="72"/>
        </w:rPr>
        <w:t>理</w:t>
      </w:r>
      <w:r>
        <w:rPr>
          <w:rFonts w:hint="eastAsia"/>
          <w:b/>
          <w:bCs/>
          <w:color w:val="FF0000"/>
          <w:sz w:val="60"/>
          <w:szCs w:val="72"/>
          <w:lang w:val="en-US" w:eastAsia="zh-CN"/>
        </w:rPr>
        <w:t xml:space="preserve"> </w:t>
      </w:r>
      <w:r>
        <w:rPr>
          <w:rFonts w:hint="eastAsia"/>
          <w:b/>
          <w:bCs/>
          <w:color w:val="FF0000"/>
          <w:sz w:val="60"/>
          <w:szCs w:val="72"/>
        </w:rPr>
        <w:t>协</w:t>
      </w:r>
      <w:r>
        <w:rPr>
          <w:rFonts w:hint="eastAsia"/>
          <w:b/>
          <w:bCs/>
          <w:color w:val="FF0000"/>
          <w:sz w:val="60"/>
          <w:szCs w:val="72"/>
          <w:lang w:val="en-US" w:eastAsia="zh-CN"/>
        </w:rPr>
        <w:t xml:space="preserve"> </w:t>
      </w:r>
      <w:r>
        <w:rPr>
          <w:rFonts w:hint="eastAsia"/>
          <w:b/>
          <w:bCs/>
          <w:color w:val="FF0000"/>
          <w:sz w:val="60"/>
          <w:szCs w:val="72"/>
        </w:rPr>
        <w:t>会</w:t>
      </w:r>
    </w:p>
    <w:p w14:paraId="278344B5">
      <w:pPr>
        <w:spacing w:before="178" w:line="73" w:lineRule="exact"/>
      </w:pPr>
    </w:p>
    <w:p w14:paraId="2851F043">
      <w:pPr>
        <w:spacing w:before="178" w:line="73" w:lineRule="exact"/>
        <w:rPr>
          <w:rFonts w:ascii="黑体" w:hAnsi="黑体" w:eastAsia="黑体" w:cs="宋体"/>
          <w:spacing w:val="8"/>
          <w:kern w:val="36"/>
          <w:sz w:val="36"/>
          <w:szCs w:val="36"/>
        </w:rPr>
      </w:pPr>
      <w:r>
        <w:rPr>
          <w:position w:val="-1"/>
          <w:lang w:eastAsia="zh-CN"/>
        </w:rPr>
        <w:drawing>
          <wp:anchor distT="0" distB="0" distL="0" distR="0" simplePos="0" relativeHeight="251659264" behindDoc="0" locked="0" layoutInCell="1" allowOverlap="1">
            <wp:simplePos x="0" y="0"/>
            <wp:positionH relativeFrom="column">
              <wp:posOffset>-332740</wp:posOffset>
            </wp:positionH>
            <wp:positionV relativeFrom="paragraph">
              <wp:posOffset>42545</wp:posOffset>
            </wp:positionV>
            <wp:extent cx="6139180" cy="46355"/>
            <wp:effectExtent l="0" t="0" r="13970" b="10795"/>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
                    <a:stretch>
                      <a:fillRect/>
                    </a:stretch>
                  </pic:blipFill>
                  <pic:spPr>
                    <a:xfrm>
                      <a:off x="0" y="0"/>
                      <a:ext cx="6139205" cy="46355"/>
                    </a:xfrm>
                    <a:prstGeom prst="rect">
                      <a:avLst/>
                    </a:prstGeom>
                  </pic:spPr>
                </pic:pic>
              </a:graphicData>
            </a:graphic>
          </wp:anchor>
        </w:drawing>
      </w:r>
    </w:p>
    <w:p w14:paraId="30371859">
      <w:pPr>
        <w:pStyle w:val="2"/>
        <w:jc w:val="both"/>
      </w:pPr>
      <w:bookmarkStart w:id="0" w:name="_GoBack"/>
      <w:bookmarkEnd w:id="0"/>
    </w:p>
    <w:p w14:paraId="7DE92D78">
      <w:pPr>
        <w:pStyle w:val="2"/>
        <w:jc w:val="center"/>
      </w:pPr>
      <w:r>
        <w:t>珠海市建设工程监理工作守则</w:t>
      </w:r>
    </w:p>
    <w:p w14:paraId="1CF70B83">
      <w:pPr>
        <w:spacing w:line="380" w:lineRule="exact"/>
        <w:jc w:val="center"/>
        <w:rPr>
          <w:rFonts w:hint="eastAsia" w:ascii="仿宋" w:hAnsi="仿宋" w:eastAsia="仿宋" w:cs="瀹嬩綋"/>
          <w:b/>
          <w:bCs/>
          <w:color w:val="000000"/>
          <w:sz w:val="24"/>
          <w:shd w:val="clear" w:color="auto" w:fill="FFFFFF"/>
        </w:rPr>
      </w:pPr>
    </w:p>
    <w:p w14:paraId="2A2F1CB0">
      <w:pPr>
        <w:spacing w:line="380" w:lineRule="exact"/>
        <w:jc w:val="center"/>
        <w:rPr>
          <w:rFonts w:hint="eastAsia" w:ascii="仿宋" w:hAnsi="仿宋" w:eastAsia="仿宋" w:cs="瀹嬩綋"/>
          <w:b/>
          <w:bCs/>
          <w:color w:val="000000"/>
          <w:sz w:val="24"/>
          <w:shd w:val="clear" w:color="auto" w:fill="FFFFFF"/>
        </w:rPr>
      </w:pPr>
      <w:r>
        <w:rPr>
          <w:rFonts w:hint="eastAsia" w:ascii="仿宋" w:hAnsi="仿宋" w:eastAsia="仿宋" w:cs="瀹嬩綋"/>
          <w:b/>
          <w:bCs/>
          <w:color w:val="000000"/>
          <w:sz w:val="24"/>
          <w:shd w:val="clear" w:color="auto" w:fill="FFFFFF"/>
        </w:rPr>
        <w:t>第一章  总则</w:t>
      </w:r>
    </w:p>
    <w:p w14:paraId="12593BC9">
      <w:pPr>
        <w:spacing w:line="380" w:lineRule="exact"/>
        <w:ind w:firstLine="723" w:firstLineChars="300"/>
        <w:rPr>
          <w:rFonts w:hint="eastAsia" w:ascii="仿宋" w:hAnsi="仿宋" w:eastAsia="仿宋" w:cs="宋体"/>
          <w:sz w:val="24"/>
        </w:rPr>
      </w:pPr>
      <w:r>
        <w:rPr>
          <w:rFonts w:hint="eastAsia" w:ascii="仿宋" w:hAnsi="仿宋" w:eastAsia="仿宋" w:cs="宋体"/>
          <w:b/>
          <w:bCs/>
          <w:color w:val="000000" w:themeColor="text1"/>
          <w:sz w:val="24"/>
          <w14:textFill>
            <w14:solidFill>
              <w14:schemeClr w14:val="tx1"/>
            </w14:solidFill>
          </w14:textFill>
        </w:rPr>
        <w:t xml:space="preserve">第一条 </w:t>
      </w:r>
      <w:r>
        <w:rPr>
          <w:rFonts w:hint="eastAsia" w:ascii="仿宋" w:hAnsi="仿宋" w:eastAsia="仿宋" w:cs="宋体"/>
          <w:color w:val="000000" w:themeColor="text1"/>
          <w:sz w:val="24"/>
          <w14:textFill>
            <w14:solidFill>
              <w14:schemeClr w14:val="tx1"/>
            </w14:solidFill>
          </w14:textFill>
        </w:rPr>
        <w:t xml:space="preserve"> </w:t>
      </w:r>
      <w:r>
        <w:rPr>
          <w:rFonts w:hint="eastAsia" w:ascii="仿宋" w:hAnsi="仿宋" w:eastAsia="仿宋" w:cs="宋体"/>
          <w:sz w:val="24"/>
        </w:rPr>
        <w:t>为持续推进</w:t>
      </w:r>
      <w:r>
        <w:rPr>
          <w:rFonts w:hint="eastAsia" w:ascii="仿宋" w:hAnsi="仿宋" w:eastAsia="仿宋" w:cs="宋体"/>
          <w:sz w:val="24"/>
          <w:shd w:val="clear" w:color="auto" w:fill="FFFFFF"/>
        </w:rPr>
        <w:t>珠海市建设监理协会（</w:t>
      </w:r>
      <w:r>
        <w:rPr>
          <w:rFonts w:hint="eastAsia" w:ascii="仿宋" w:hAnsi="仿宋" w:eastAsia="仿宋" w:cs="宋体"/>
          <w:sz w:val="24"/>
        </w:rPr>
        <w:t>以下简称协会</w:t>
      </w:r>
      <w:r>
        <w:rPr>
          <w:rFonts w:hint="eastAsia" w:ascii="仿宋" w:hAnsi="仿宋" w:eastAsia="仿宋" w:cs="宋体"/>
          <w:sz w:val="24"/>
          <w:shd w:val="clear" w:color="auto" w:fill="FFFFFF"/>
        </w:rPr>
        <w:t>）全体会员单位及在珠海市范围内开展业务的监理单位</w:t>
      </w:r>
      <w:r>
        <w:rPr>
          <w:rFonts w:hint="eastAsia" w:ascii="仿宋" w:hAnsi="仿宋" w:eastAsia="仿宋" w:cs="宋体"/>
          <w:sz w:val="24"/>
        </w:rPr>
        <w:t>自律与诚信建设</w:t>
      </w:r>
      <w:r>
        <w:rPr>
          <w:rFonts w:hint="eastAsia" w:ascii="仿宋" w:hAnsi="仿宋" w:eastAsia="仿宋" w:cs="宋体"/>
          <w:sz w:val="24"/>
          <w:shd w:val="clear" w:color="auto" w:fill="FFFFFF"/>
        </w:rPr>
        <w:t>，贯彻落实</w:t>
      </w:r>
      <w:r>
        <w:rPr>
          <w:rFonts w:hint="eastAsia" w:ascii="仿宋" w:hAnsi="仿宋" w:eastAsia="仿宋"/>
          <w:sz w:val="24"/>
        </w:rPr>
        <w:t>国务院《建设工程质量管理条例》（中华人民共和国国务院令第279号）、《建设工程安全生产管理条例》和住建部《建设工程监理规范》等法规及</w:t>
      </w:r>
      <w:r>
        <w:rPr>
          <w:rFonts w:hint="eastAsia" w:ascii="仿宋" w:hAnsi="仿宋" w:eastAsia="仿宋"/>
          <w:color w:val="000000" w:themeColor="text1"/>
          <w:sz w:val="24"/>
          <w14:textFill>
            <w14:solidFill>
              <w14:schemeClr w14:val="tx1"/>
            </w14:solidFill>
          </w14:textFill>
        </w:rPr>
        <w:t>有关行业自律文件</w:t>
      </w:r>
      <w:r>
        <w:rPr>
          <w:rFonts w:hint="eastAsia" w:ascii="仿宋" w:hAnsi="仿宋" w:eastAsia="仿宋"/>
          <w:sz w:val="24"/>
        </w:rPr>
        <w:t>，</w:t>
      </w:r>
      <w:r>
        <w:rPr>
          <w:rFonts w:hint="eastAsia" w:ascii="仿宋" w:hAnsi="仿宋" w:eastAsia="仿宋" w:cs="宋体"/>
          <w:sz w:val="24"/>
        </w:rPr>
        <w:t>规范工程监理单位、项目监理机构和监理人员行为，</w:t>
      </w:r>
      <w:r>
        <w:rPr>
          <w:rFonts w:ascii="仿宋" w:hAnsi="仿宋" w:eastAsia="仿宋"/>
          <w:sz w:val="24"/>
        </w:rPr>
        <w:t>保障监理</w:t>
      </w:r>
      <w:r>
        <w:rPr>
          <w:rFonts w:hint="eastAsia" w:ascii="仿宋" w:hAnsi="仿宋" w:eastAsia="仿宋"/>
          <w:sz w:val="24"/>
        </w:rPr>
        <w:t>单位</w:t>
      </w:r>
      <w:r>
        <w:rPr>
          <w:rFonts w:ascii="仿宋" w:hAnsi="仿宋" w:eastAsia="仿宋"/>
          <w:sz w:val="24"/>
        </w:rPr>
        <w:t>公平、独立、诚信、科学开展建设工程监理与相关服务活动，</w:t>
      </w:r>
      <w:r>
        <w:rPr>
          <w:rFonts w:hint="eastAsia" w:ascii="MS Gothic" w:hAnsi="MS Gothic" w:eastAsia="MS Gothic" w:cs="MS Gothic"/>
          <w:sz w:val="24"/>
        </w:rPr>
        <w:t>‌</w:t>
      </w:r>
      <w:r>
        <w:rPr>
          <w:rFonts w:hint="eastAsia" w:ascii="仿宋" w:hAnsi="仿宋" w:eastAsia="仿宋" w:cs="仿宋"/>
          <w:sz w:val="24"/>
        </w:rPr>
        <w:t>维护本市工程监理市场秩序，促进行业高质量发展，依据国家有关法律法规和</w:t>
      </w:r>
      <w:r>
        <w:rPr>
          <w:rFonts w:hint="eastAsia" w:ascii="仿宋" w:hAnsi="仿宋" w:eastAsia="仿宋" w:cs="宋体"/>
          <w:sz w:val="24"/>
          <w:shd w:val="clear" w:color="auto" w:fill="FFFFFF"/>
        </w:rPr>
        <w:t>协会</w:t>
      </w:r>
      <w:r>
        <w:rPr>
          <w:rFonts w:hint="eastAsia" w:ascii="仿宋" w:hAnsi="仿宋" w:eastAsia="仿宋" w:cs="宋体"/>
          <w:sz w:val="24"/>
        </w:rPr>
        <w:t>章程，制定本工作守则。</w:t>
      </w:r>
    </w:p>
    <w:p w14:paraId="387FB9DF">
      <w:pPr>
        <w:pStyle w:val="7"/>
        <w:widowControl/>
        <w:spacing w:beforeAutospacing="0" w:afterAutospacing="0" w:line="380" w:lineRule="exact"/>
        <w:ind w:firstLine="560"/>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b/>
          <w:bCs/>
          <w:color w:val="000000" w:themeColor="text1"/>
          <w14:textFill>
            <w14:solidFill>
              <w14:schemeClr w14:val="tx1"/>
            </w14:solidFill>
          </w14:textFill>
        </w:rPr>
        <w:t xml:space="preserve">第二条 </w:t>
      </w:r>
      <w:r>
        <w:rPr>
          <w:rFonts w:hint="eastAsia" w:ascii="仿宋" w:hAnsi="仿宋" w:eastAsia="仿宋" w:cs="宋体"/>
          <w:color w:val="000000" w:themeColor="text1"/>
          <w14:textFill>
            <w14:solidFill>
              <w14:schemeClr w14:val="tx1"/>
            </w14:solidFill>
          </w14:textFill>
        </w:rPr>
        <w:t xml:space="preserve"> 本工作守则适用于协会</w:t>
      </w:r>
      <w:r>
        <w:rPr>
          <w:rFonts w:hint="eastAsia" w:ascii="仿宋" w:hAnsi="仿宋" w:eastAsia="仿宋" w:cs="宋体"/>
          <w:color w:val="000000" w:themeColor="text1"/>
          <w:shd w:val="clear" w:color="auto" w:fill="FFFFFF"/>
          <w14:textFill>
            <w14:solidFill>
              <w14:schemeClr w14:val="tx1"/>
            </w14:solidFill>
          </w14:textFill>
        </w:rPr>
        <w:t>全体会员单位、在珠海市范围内开展业务的工程监理单位</w:t>
      </w:r>
      <w:r>
        <w:rPr>
          <w:rFonts w:hint="eastAsia" w:ascii="仿宋" w:hAnsi="仿宋" w:eastAsia="仿宋" w:cs="宋体"/>
          <w:color w:val="000000" w:themeColor="text1"/>
          <w14:textFill>
            <w14:solidFill>
              <w14:schemeClr w14:val="tx1"/>
            </w14:solidFill>
          </w14:textFill>
        </w:rPr>
        <w:t>及其项目监理机构和监理从业人员。</w:t>
      </w:r>
    </w:p>
    <w:p w14:paraId="4C7941F1">
      <w:pPr>
        <w:pStyle w:val="7"/>
        <w:widowControl/>
        <w:spacing w:beforeAutospacing="0" w:afterAutospacing="0" w:line="380" w:lineRule="exact"/>
        <w:ind w:firstLine="560"/>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b/>
          <w:bCs/>
        </w:rPr>
        <w:t xml:space="preserve">第三条 </w:t>
      </w:r>
      <w:r>
        <w:rPr>
          <w:rFonts w:hint="eastAsia" w:ascii="仿宋" w:hAnsi="仿宋" w:eastAsia="仿宋" w:cs="宋体"/>
        </w:rPr>
        <w:t xml:space="preserve"> </w:t>
      </w:r>
      <w:r>
        <w:rPr>
          <w:rFonts w:hint="eastAsia" w:ascii="仿宋" w:hAnsi="仿宋" w:eastAsia="仿宋"/>
        </w:rPr>
        <w:t>本工作守则执行范围为本市区域内开展的住建部资质序列范围内的建设监理业务。</w:t>
      </w:r>
    </w:p>
    <w:p w14:paraId="0DCA8180">
      <w:pPr>
        <w:pStyle w:val="7"/>
        <w:widowControl/>
        <w:spacing w:beforeAutospacing="0" w:afterAutospacing="0" w:line="380" w:lineRule="exact"/>
        <w:ind w:firstLine="482" w:firstLineChars="200"/>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b/>
          <w:bCs/>
          <w:color w:val="000000" w:themeColor="text1"/>
          <w14:textFill>
            <w14:solidFill>
              <w14:schemeClr w14:val="tx1"/>
            </w14:solidFill>
          </w14:textFill>
        </w:rPr>
        <w:t>第四条</w:t>
      </w:r>
      <w:r>
        <w:rPr>
          <w:rFonts w:hint="eastAsia" w:ascii="仿宋" w:hAnsi="仿宋" w:eastAsia="仿宋" w:cs="宋体"/>
          <w:color w:val="000000" w:themeColor="text1"/>
          <w14:textFill>
            <w14:solidFill>
              <w14:schemeClr w14:val="tx1"/>
            </w14:solidFill>
          </w14:textFill>
        </w:rPr>
        <w:t xml:space="preserve">  协会行业自律委员会为行业自律管理机构，组织本市</w:t>
      </w:r>
      <w:r>
        <w:rPr>
          <w:rFonts w:hint="eastAsia" w:ascii="仿宋" w:hAnsi="仿宋" w:eastAsia="仿宋" w:cs="宋体"/>
          <w:color w:val="000000" w:themeColor="text1"/>
          <w:shd w:val="clear" w:color="auto" w:fill="FFFFFF"/>
          <w14:textFill>
            <w14:solidFill>
              <w14:schemeClr w14:val="tx1"/>
            </w14:solidFill>
          </w14:textFill>
        </w:rPr>
        <w:t>全体会员单位、在珠海市范围内开展业务的监理单位</w:t>
      </w:r>
      <w:r>
        <w:rPr>
          <w:rFonts w:hint="eastAsia" w:ascii="仿宋" w:hAnsi="仿宋" w:eastAsia="仿宋" w:cs="宋体"/>
          <w:color w:val="000000" w:themeColor="text1"/>
          <w14:textFill>
            <w14:solidFill>
              <w14:schemeClr w14:val="tx1"/>
            </w14:solidFill>
          </w14:textFill>
        </w:rPr>
        <w:t>开展行业自律和诚信建设活动。</w:t>
      </w:r>
    </w:p>
    <w:p w14:paraId="06EE5BFB">
      <w:pPr>
        <w:pStyle w:val="7"/>
        <w:widowControl/>
        <w:spacing w:beforeAutospacing="0" w:afterAutospacing="0" w:line="380" w:lineRule="exact"/>
        <w:jc w:val="center"/>
        <w:rPr>
          <w:rFonts w:hint="eastAsia" w:ascii="仿宋" w:hAnsi="仿宋" w:eastAsia="仿宋"/>
          <w:b/>
          <w:bCs/>
          <w:color w:val="000000" w:themeColor="text1"/>
          <w14:textFill>
            <w14:solidFill>
              <w14:schemeClr w14:val="tx1"/>
            </w14:solidFill>
          </w14:textFill>
        </w:rPr>
      </w:pPr>
    </w:p>
    <w:p w14:paraId="1CAACD9E">
      <w:pPr>
        <w:pStyle w:val="7"/>
        <w:widowControl/>
        <w:spacing w:beforeAutospacing="0" w:afterAutospacing="0" w:line="380" w:lineRule="exact"/>
        <w:jc w:val="center"/>
        <w:rPr>
          <w:rFonts w:hint="eastAsia" w:ascii="仿宋" w:hAnsi="仿宋" w:eastAsia="仿宋"/>
          <w:b/>
          <w:bCs/>
          <w:color w:val="000000" w:themeColor="text1"/>
          <w14:textFill>
            <w14:solidFill>
              <w14:schemeClr w14:val="tx1"/>
            </w14:solidFill>
          </w14:textFill>
        </w:rPr>
      </w:pPr>
      <w:r>
        <w:rPr>
          <w:rFonts w:hint="eastAsia" w:ascii="仿宋" w:hAnsi="仿宋" w:eastAsia="仿宋"/>
          <w:b/>
          <w:bCs/>
          <w:color w:val="000000" w:themeColor="text1"/>
          <w14:textFill>
            <w14:solidFill>
              <w14:schemeClr w14:val="tx1"/>
            </w14:solidFill>
          </w14:textFill>
        </w:rPr>
        <w:t>第二章  工程监理单位</w:t>
      </w:r>
    </w:p>
    <w:p w14:paraId="114C83AC">
      <w:pPr>
        <w:widowControl/>
        <w:spacing w:line="380" w:lineRule="exact"/>
        <w:ind w:firstLine="482" w:firstLineChars="200"/>
        <w:rPr>
          <w:rFonts w:hint="eastAsia" w:ascii="仿宋" w:hAnsi="仿宋" w:eastAsia="仿宋" w:cs="宋体"/>
          <w:b/>
          <w:bCs/>
          <w:kern w:val="0"/>
          <w:sz w:val="24"/>
        </w:rPr>
      </w:pPr>
      <w:r>
        <w:rPr>
          <w:rFonts w:hint="eastAsia" w:ascii="仿宋" w:hAnsi="仿宋" w:eastAsia="仿宋"/>
          <w:b/>
          <w:bCs/>
          <w:sz w:val="24"/>
        </w:rPr>
        <w:t xml:space="preserve">第五条  </w:t>
      </w:r>
      <w:r>
        <w:rPr>
          <w:rFonts w:hint="eastAsia" w:ascii="仿宋" w:hAnsi="仿宋" w:eastAsia="仿宋" w:cs="宋体"/>
          <w:b/>
          <w:bCs/>
          <w:kern w:val="0"/>
          <w:sz w:val="24"/>
        </w:rPr>
        <w:t>资质管理</w:t>
      </w:r>
    </w:p>
    <w:p w14:paraId="15C01205">
      <w:pPr>
        <w:spacing w:line="380" w:lineRule="exact"/>
        <w:ind w:firstLine="720" w:firstLineChars="300"/>
        <w:rPr>
          <w:rFonts w:hint="eastAsia" w:ascii="仿宋" w:hAnsi="仿宋" w:eastAsia="仿宋" w:cs="宋体"/>
          <w:color w:val="000000" w:themeColor="text1"/>
          <w:kern w:val="0"/>
          <w:sz w:val="24"/>
          <w14:textFill>
            <w14:solidFill>
              <w14:schemeClr w14:val="tx1"/>
            </w14:solidFill>
          </w14:textFill>
        </w:rPr>
      </w:pPr>
      <w:r>
        <w:rPr>
          <w:rFonts w:ascii="仿宋" w:hAnsi="仿宋" w:eastAsia="仿宋"/>
          <w:color w:val="000000" w:themeColor="text1"/>
          <w:sz w:val="24"/>
          <w14:textFill>
            <w14:solidFill>
              <w14:schemeClr w14:val="tx1"/>
            </w14:solidFill>
          </w14:textFill>
        </w:rPr>
        <w:t>遵守</w:t>
      </w:r>
      <w:r>
        <w:rPr>
          <w:rFonts w:hint="eastAsia" w:ascii="仿宋" w:hAnsi="仿宋" w:eastAsia="仿宋" w:cs="宋体"/>
          <w:color w:val="000000" w:themeColor="text1"/>
          <w:kern w:val="0"/>
          <w:sz w:val="24"/>
          <w14:textFill>
            <w14:solidFill>
              <w14:schemeClr w14:val="tx1"/>
            </w14:solidFill>
          </w14:textFill>
        </w:rPr>
        <w:t>国家</w:t>
      </w:r>
      <w:r>
        <w:rPr>
          <w:rFonts w:ascii="仿宋" w:hAnsi="仿宋" w:eastAsia="仿宋"/>
          <w:color w:val="000000" w:themeColor="text1"/>
          <w:sz w:val="24"/>
          <w14:textFill>
            <w14:solidFill>
              <w14:schemeClr w14:val="tx1"/>
            </w14:solidFill>
          </w14:textFill>
        </w:rPr>
        <w:t>法律法规规定</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s="宋体"/>
          <w:color w:val="000000" w:themeColor="text1"/>
          <w:kern w:val="0"/>
          <w:sz w:val="24"/>
          <w14:textFill>
            <w14:solidFill>
              <w14:schemeClr w14:val="tx1"/>
            </w14:solidFill>
          </w14:textFill>
        </w:rPr>
        <w:t>依法取得监理企业资质，在资质证书核定的经营范围内</w:t>
      </w:r>
      <w:r>
        <w:rPr>
          <w:rFonts w:hint="eastAsia" w:ascii="仿宋" w:hAnsi="仿宋" w:eastAsia="仿宋"/>
          <w:color w:val="000000" w:themeColor="text1"/>
          <w:sz w:val="24"/>
          <w14:textFill>
            <w14:solidFill>
              <w14:schemeClr w14:val="tx1"/>
            </w14:solidFill>
          </w14:textFill>
        </w:rPr>
        <w:t>依规</w:t>
      </w:r>
      <w:r>
        <w:rPr>
          <w:rFonts w:hint="eastAsia" w:ascii="仿宋" w:hAnsi="仿宋" w:eastAsia="仿宋" w:cs="宋体"/>
          <w:color w:val="000000" w:themeColor="text1"/>
          <w:kern w:val="0"/>
          <w:sz w:val="24"/>
          <w14:textFill>
            <w14:solidFill>
              <w14:schemeClr w14:val="tx1"/>
            </w14:solidFill>
          </w14:textFill>
        </w:rPr>
        <w:t>依法承接业务</w:t>
      </w:r>
      <w:r>
        <w:rPr>
          <w:rFonts w:ascii="仿宋" w:hAnsi="仿宋" w:eastAsia="仿宋"/>
          <w:color w:val="000000" w:themeColor="text1"/>
          <w:sz w:val="24"/>
          <w14:textFill>
            <w14:solidFill>
              <w14:schemeClr w14:val="tx1"/>
            </w14:solidFill>
          </w14:textFill>
        </w:rPr>
        <w:t>，不允许其他企业或个人使用本企业资质</w:t>
      </w:r>
      <w:r>
        <w:rPr>
          <w:rFonts w:hint="eastAsia" w:ascii="仿宋" w:hAnsi="仿宋" w:eastAsia="仿宋"/>
          <w:color w:val="000000" w:themeColor="text1"/>
          <w:sz w:val="24"/>
          <w14:textFill>
            <w14:solidFill>
              <w14:schemeClr w14:val="tx1"/>
            </w14:solidFill>
          </w14:textFill>
        </w:rPr>
        <w:t>承接业务</w:t>
      </w:r>
      <w:r>
        <w:rPr>
          <w:rFonts w:ascii="仿宋" w:hAnsi="仿宋" w:eastAsia="仿宋"/>
          <w:color w:val="000000" w:themeColor="text1"/>
          <w:sz w:val="24"/>
          <w14:textFill>
            <w14:solidFill>
              <w14:schemeClr w14:val="tx1"/>
            </w14:solidFill>
          </w14:textFill>
        </w:rPr>
        <w:t>，不挂靠其他企业资质承揽业务，不与其他工程监理企业串通投标</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s="宋体"/>
          <w:color w:val="000000" w:themeColor="text1"/>
          <w:kern w:val="0"/>
          <w:sz w:val="24"/>
          <w14:textFill>
            <w14:solidFill>
              <w14:schemeClr w14:val="tx1"/>
            </w14:solidFill>
          </w14:textFill>
        </w:rPr>
        <w:t>不转让监理业务。</w:t>
      </w:r>
    </w:p>
    <w:p w14:paraId="37A2C186">
      <w:pPr>
        <w:spacing w:line="380" w:lineRule="exact"/>
        <w:ind w:firstLine="482" w:firstLineChars="200"/>
        <w:rPr>
          <w:rFonts w:hint="eastAsia"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 xml:space="preserve">第六条  </w:t>
      </w:r>
      <w:r>
        <w:rPr>
          <w:rFonts w:hint="eastAsia" w:ascii="仿宋" w:hAnsi="仿宋" w:eastAsia="仿宋"/>
          <w:b/>
          <w:bCs/>
          <w:color w:val="000000" w:themeColor="text1"/>
          <w:sz w:val="24"/>
          <w14:textFill>
            <w14:solidFill>
              <w14:schemeClr w14:val="tx1"/>
            </w14:solidFill>
          </w14:textFill>
        </w:rPr>
        <w:t>监理</w:t>
      </w:r>
      <w:r>
        <w:rPr>
          <w:rFonts w:hint="eastAsia" w:ascii="仿宋" w:hAnsi="仿宋" w:eastAsia="仿宋" w:cs="宋体"/>
          <w:b/>
          <w:bCs/>
          <w:color w:val="000000" w:themeColor="text1"/>
          <w:kern w:val="0"/>
          <w:sz w:val="24"/>
          <w14:textFill>
            <w14:solidFill>
              <w14:schemeClr w14:val="tx1"/>
            </w14:solidFill>
          </w14:textFill>
        </w:rPr>
        <w:t>合同管理</w:t>
      </w:r>
    </w:p>
    <w:p w14:paraId="10387272">
      <w:pPr>
        <w:widowControl/>
        <w:spacing w:line="380" w:lineRule="exact"/>
        <w:ind w:firstLine="480" w:firstLineChars="200"/>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（一）工程监理单位应依法依规参与</w:t>
      </w:r>
      <w:r>
        <w:rPr>
          <w:rFonts w:ascii="仿宋" w:hAnsi="仿宋" w:eastAsia="仿宋"/>
          <w:color w:val="000000" w:themeColor="text1"/>
          <w:sz w:val="24"/>
          <w14:textFill>
            <w14:solidFill>
              <w14:schemeClr w14:val="tx1"/>
            </w14:solidFill>
          </w14:textFill>
        </w:rPr>
        <w:t>公平、合法、有序的市场竞争，自觉维护监理市场竞争秩序，不采用不正当手段竞争，不</w:t>
      </w:r>
      <w:r>
        <w:rPr>
          <w:rFonts w:hint="eastAsia" w:ascii="仿宋" w:hAnsi="仿宋" w:eastAsia="仿宋"/>
          <w:color w:val="000000" w:themeColor="text1"/>
          <w:sz w:val="24"/>
          <w14:textFill>
            <w14:solidFill>
              <w14:schemeClr w14:val="tx1"/>
            </w14:solidFill>
          </w14:textFill>
        </w:rPr>
        <w:t>低于成本价</w:t>
      </w:r>
      <w:r>
        <w:rPr>
          <w:rFonts w:ascii="仿宋" w:hAnsi="仿宋" w:eastAsia="仿宋"/>
          <w:color w:val="000000" w:themeColor="text1"/>
          <w:sz w:val="24"/>
          <w14:textFill>
            <w14:solidFill>
              <w14:schemeClr w14:val="tx1"/>
            </w14:solidFill>
          </w14:textFill>
        </w:rPr>
        <w:t>竞争，不以降低服务标准、减少服务内容等方式恶意低价扰乱</w:t>
      </w:r>
      <w:r>
        <w:rPr>
          <w:rFonts w:hint="eastAsia" w:ascii="仿宋" w:hAnsi="仿宋" w:eastAsia="仿宋"/>
          <w:color w:val="000000" w:themeColor="text1"/>
          <w:sz w:val="24"/>
          <w14:textFill>
            <w14:solidFill>
              <w14:schemeClr w14:val="tx1"/>
            </w14:solidFill>
          </w14:textFill>
        </w:rPr>
        <w:t>监理</w:t>
      </w:r>
      <w:r>
        <w:rPr>
          <w:rFonts w:ascii="仿宋" w:hAnsi="仿宋" w:eastAsia="仿宋"/>
          <w:color w:val="000000" w:themeColor="text1"/>
          <w:sz w:val="24"/>
          <w14:textFill>
            <w14:solidFill>
              <w14:schemeClr w14:val="tx1"/>
            </w14:solidFill>
          </w14:textFill>
        </w:rPr>
        <w:t>市场</w:t>
      </w:r>
      <w:r>
        <w:rPr>
          <w:rFonts w:hint="eastAsia" w:ascii="仿宋" w:hAnsi="仿宋" w:eastAsia="仿宋"/>
          <w:color w:val="000000" w:themeColor="text1"/>
          <w:sz w:val="24"/>
          <w14:textFill>
            <w14:solidFill>
              <w14:schemeClr w14:val="tx1"/>
            </w14:solidFill>
          </w14:textFill>
        </w:rPr>
        <w:t>，自觉</w:t>
      </w:r>
      <w:r>
        <w:rPr>
          <w:rFonts w:ascii="仿宋" w:hAnsi="仿宋" w:eastAsia="仿宋"/>
          <w:color w:val="000000" w:themeColor="text1"/>
          <w:sz w:val="24"/>
          <w14:textFill>
            <w14:solidFill>
              <w14:schemeClr w14:val="tx1"/>
            </w14:solidFill>
          </w14:textFill>
        </w:rPr>
        <w:t>维护行业</w:t>
      </w:r>
      <w:r>
        <w:rPr>
          <w:rFonts w:hint="eastAsia" w:ascii="仿宋" w:hAnsi="仿宋" w:eastAsia="仿宋"/>
          <w:color w:val="000000" w:themeColor="text1"/>
          <w:sz w:val="24"/>
          <w14:textFill>
            <w14:solidFill>
              <w14:schemeClr w14:val="tx1"/>
            </w14:solidFill>
          </w14:textFill>
        </w:rPr>
        <w:t>健康可持续发展</w:t>
      </w:r>
      <w:r>
        <w:rPr>
          <w:rFonts w:ascii="仿宋" w:hAnsi="仿宋" w:eastAsia="仿宋"/>
          <w:color w:val="000000" w:themeColor="text1"/>
          <w:sz w:val="24"/>
          <w14:textFill>
            <w14:solidFill>
              <w14:schemeClr w14:val="tx1"/>
            </w14:solidFill>
          </w14:textFill>
        </w:rPr>
        <w:t>。</w:t>
      </w:r>
    </w:p>
    <w:p w14:paraId="7B9172FE">
      <w:pPr>
        <w:widowControl/>
        <w:spacing w:line="380" w:lineRule="exact"/>
        <w:ind w:firstLine="480" w:firstLineChars="200"/>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（二）</w:t>
      </w:r>
      <w:r>
        <w:rPr>
          <w:rFonts w:hint="eastAsia" w:ascii="仿宋" w:hAnsi="仿宋" w:eastAsia="仿宋"/>
          <w:color w:val="000000" w:themeColor="text1"/>
          <w:sz w:val="24"/>
          <w14:textFill>
            <w14:solidFill>
              <w14:schemeClr w14:val="tx1"/>
            </w14:solidFill>
          </w14:textFill>
        </w:rPr>
        <w:t>工程监理单位应</w:t>
      </w:r>
      <w:r>
        <w:rPr>
          <w:rFonts w:hint="eastAsia" w:ascii="仿宋" w:hAnsi="仿宋" w:eastAsia="仿宋" w:cs="宋体"/>
          <w:color w:val="000000" w:themeColor="text1"/>
          <w:kern w:val="0"/>
          <w:sz w:val="24"/>
          <w14:textFill>
            <w14:solidFill>
              <w14:schemeClr w14:val="tx1"/>
            </w14:solidFill>
          </w14:textFill>
        </w:rPr>
        <w:t>按照本市建设行政主管部门管理规定，在监理合同签订或变更后，及时办理合同备案手续。</w:t>
      </w:r>
    </w:p>
    <w:p w14:paraId="19A2EDF6">
      <w:pPr>
        <w:pStyle w:val="7"/>
        <w:widowControl/>
        <w:spacing w:beforeAutospacing="0" w:afterAutospacing="0" w:line="380" w:lineRule="exact"/>
        <w:ind w:firstLine="480" w:firstLineChars="200"/>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（三）工程监理单位应</w:t>
      </w:r>
      <w:r>
        <w:rPr>
          <w:rFonts w:ascii="仿宋" w:hAnsi="仿宋" w:eastAsia="仿宋"/>
          <w:color w:val="000000" w:themeColor="text1"/>
          <w14:textFill>
            <w14:solidFill>
              <w14:schemeClr w14:val="tx1"/>
            </w14:solidFill>
          </w14:textFill>
        </w:rPr>
        <w:t>认真</w:t>
      </w:r>
      <w:r>
        <w:rPr>
          <w:rFonts w:hint="eastAsia" w:ascii="仿宋" w:hAnsi="仿宋" w:eastAsia="仿宋"/>
          <w:color w:val="000000" w:themeColor="text1"/>
          <w14:textFill>
            <w14:solidFill>
              <w14:schemeClr w14:val="tx1"/>
            </w14:solidFill>
          </w14:textFill>
        </w:rPr>
        <w:t>、全面</w:t>
      </w:r>
      <w:r>
        <w:rPr>
          <w:rFonts w:ascii="仿宋" w:hAnsi="仿宋" w:eastAsia="仿宋"/>
          <w:color w:val="000000" w:themeColor="text1"/>
          <w14:textFill>
            <w14:solidFill>
              <w14:schemeClr w14:val="tx1"/>
            </w14:solidFill>
          </w14:textFill>
        </w:rPr>
        <w:t>履行监理合同义务，充分发挥</w:t>
      </w:r>
      <w:r>
        <w:rPr>
          <w:rFonts w:hint="eastAsia" w:ascii="仿宋" w:hAnsi="仿宋" w:eastAsia="仿宋"/>
          <w:color w:val="000000" w:themeColor="text1"/>
          <w14:textFill>
            <w14:solidFill>
              <w14:schemeClr w14:val="tx1"/>
            </w14:solidFill>
          </w14:textFill>
        </w:rPr>
        <w:t>工程</w:t>
      </w:r>
      <w:r>
        <w:rPr>
          <w:rFonts w:ascii="仿宋" w:hAnsi="仿宋" w:eastAsia="仿宋"/>
          <w:color w:val="000000" w:themeColor="text1"/>
          <w14:textFill>
            <w14:solidFill>
              <w14:schemeClr w14:val="tx1"/>
            </w14:solidFill>
          </w14:textFill>
        </w:rPr>
        <w:t>监理</w:t>
      </w:r>
      <w:r>
        <w:rPr>
          <w:rFonts w:hint="eastAsia" w:ascii="仿宋" w:hAnsi="仿宋" w:eastAsia="仿宋"/>
          <w:color w:val="000000" w:themeColor="text1"/>
          <w14:textFill>
            <w14:solidFill>
              <w14:schemeClr w14:val="tx1"/>
            </w14:solidFill>
          </w14:textFill>
        </w:rPr>
        <w:t>的</w:t>
      </w:r>
      <w:r>
        <w:rPr>
          <w:rFonts w:ascii="仿宋" w:hAnsi="仿宋" w:eastAsia="仿宋"/>
          <w:color w:val="000000" w:themeColor="text1"/>
          <w14:textFill>
            <w14:solidFill>
              <w14:schemeClr w14:val="tx1"/>
            </w14:solidFill>
          </w14:textFill>
        </w:rPr>
        <w:t>作用，为</w:t>
      </w:r>
      <w:r>
        <w:rPr>
          <w:rFonts w:hint="eastAsia" w:ascii="仿宋" w:hAnsi="仿宋" w:eastAsia="仿宋"/>
          <w:color w:val="000000" w:themeColor="text1"/>
          <w14:textFill>
            <w14:solidFill>
              <w14:schemeClr w14:val="tx1"/>
            </w14:solidFill>
          </w14:textFill>
        </w:rPr>
        <w:t>全面实现委托方各项建设目标</w:t>
      </w:r>
      <w:r>
        <w:rPr>
          <w:rFonts w:ascii="仿宋" w:hAnsi="仿宋" w:eastAsia="仿宋"/>
          <w:color w:val="000000" w:themeColor="text1"/>
          <w14:textFill>
            <w14:solidFill>
              <w14:schemeClr w14:val="tx1"/>
            </w14:solidFill>
          </w14:textFill>
        </w:rPr>
        <w:t>提供高水平</w:t>
      </w:r>
      <w:r>
        <w:rPr>
          <w:rFonts w:hint="eastAsia" w:ascii="仿宋" w:hAnsi="仿宋" w:eastAsia="仿宋"/>
          <w:color w:val="000000" w:themeColor="text1"/>
          <w14:textFill>
            <w14:solidFill>
              <w14:schemeClr w14:val="tx1"/>
            </w14:solidFill>
          </w14:textFill>
        </w:rPr>
        <w:t>、专业化的工程监理</w:t>
      </w:r>
      <w:r>
        <w:rPr>
          <w:rFonts w:ascii="仿宋" w:hAnsi="仿宋" w:eastAsia="仿宋"/>
          <w:color w:val="000000" w:themeColor="text1"/>
          <w14:textFill>
            <w14:solidFill>
              <w14:schemeClr w14:val="tx1"/>
            </w14:solidFill>
          </w14:textFill>
        </w:rPr>
        <w:t>服务。</w:t>
      </w:r>
    </w:p>
    <w:p w14:paraId="50938409">
      <w:pPr>
        <w:widowControl/>
        <w:spacing w:line="380" w:lineRule="exact"/>
        <w:ind w:firstLine="482" w:firstLineChars="200"/>
        <w:rPr>
          <w:rFonts w:hint="eastAsia"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第七条  隶属关系管理</w:t>
      </w:r>
    </w:p>
    <w:p w14:paraId="45FA9490">
      <w:pPr>
        <w:pStyle w:val="7"/>
        <w:widowControl/>
        <w:spacing w:beforeAutospacing="0" w:afterAutospacing="0" w:line="380" w:lineRule="exact"/>
        <w:ind w:firstLine="720" w:firstLineChars="300"/>
        <w:rPr>
          <w:rFonts w:hint="eastAsia" w:ascii="仿宋" w:hAnsi="仿宋" w:eastAsia="仿宋"/>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工程监理单位不得与被监理工程的施工承包单位以及建筑材料、构配件、设备供应单位有隶属关系或其他利害关系，同时</w:t>
      </w:r>
      <w:r>
        <w:rPr>
          <w:rFonts w:ascii="仿宋" w:hAnsi="仿宋" w:eastAsia="仿宋"/>
          <w:color w:val="000000" w:themeColor="text1"/>
          <w14:textFill>
            <w14:solidFill>
              <w14:schemeClr w14:val="tx1"/>
            </w14:solidFill>
          </w14:textFill>
        </w:rPr>
        <w:t>不得与被监理工程的施工单位、建筑材料、构配件和设备供应单位共谋利益。</w:t>
      </w:r>
    </w:p>
    <w:p w14:paraId="6348EF17">
      <w:pPr>
        <w:widowControl/>
        <w:spacing w:line="380" w:lineRule="exact"/>
        <w:ind w:firstLine="482" w:firstLineChars="200"/>
        <w:rPr>
          <w:rFonts w:hint="eastAsia"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第八条  项目监理机构配置及管理</w:t>
      </w:r>
    </w:p>
    <w:p w14:paraId="5240ED9F">
      <w:pPr>
        <w:widowControl/>
        <w:spacing w:line="380" w:lineRule="exact"/>
        <w:ind w:firstLine="480" w:firstLineChars="200"/>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（一）</w:t>
      </w:r>
      <w:r>
        <w:rPr>
          <w:rFonts w:hint="eastAsia" w:ascii="仿宋" w:hAnsi="仿宋" w:eastAsia="仿宋"/>
          <w:color w:val="000000" w:themeColor="text1"/>
          <w:sz w:val="24"/>
          <w14:textFill>
            <w14:solidFill>
              <w14:schemeClr w14:val="tx1"/>
            </w14:solidFill>
          </w14:textFill>
        </w:rPr>
        <w:t>工程监理单位应根据项目建设规模、合同约定、技术复杂程度以及相关文件规定等情况，组建项目监理机构，并</w:t>
      </w:r>
      <w:r>
        <w:rPr>
          <w:rFonts w:ascii="仿宋" w:hAnsi="仿宋" w:eastAsia="仿宋"/>
          <w:color w:val="000000" w:themeColor="text1"/>
          <w:sz w:val="24"/>
          <w14:textFill>
            <w14:solidFill>
              <w14:schemeClr w14:val="tx1"/>
            </w14:solidFill>
          </w14:textFill>
        </w:rPr>
        <w:t>按照专业配套、数量</w:t>
      </w:r>
      <w:r>
        <w:rPr>
          <w:rFonts w:hint="eastAsia" w:ascii="仿宋" w:hAnsi="仿宋" w:eastAsia="仿宋"/>
          <w:color w:val="000000" w:themeColor="text1"/>
          <w:sz w:val="24"/>
          <w14:textFill>
            <w14:solidFill>
              <w14:schemeClr w14:val="tx1"/>
            </w14:solidFill>
          </w14:textFill>
        </w:rPr>
        <w:t>适宜</w:t>
      </w:r>
      <w:r>
        <w:rPr>
          <w:rFonts w:ascii="仿宋" w:hAnsi="仿宋" w:eastAsia="仿宋"/>
          <w:color w:val="000000" w:themeColor="text1"/>
          <w:sz w:val="24"/>
          <w14:textFill>
            <w14:solidFill>
              <w14:schemeClr w14:val="tx1"/>
            </w14:solidFill>
          </w14:textFill>
        </w:rPr>
        <w:t>的原则配备项目</w:t>
      </w:r>
      <w:r>
        <w:rPr>
          <w:rFonts w:hint="eastAsia" w:ascii="仿宋" w:hAnsi="仿宋" w:eastAsia="仿宋" w:cs="宋体"/>
          <w:color w:val="000000" w:themeColor="text1"/>
          <w:kern w:val="0"/>
          <w:sz w:val="24"/>
          <w14:textFill>
            <w14:solidFill>
              <w14:schemeClr w14:val="tx1"/>
            </w14:solidFill>
          </w14:textFill>
        </w:rPr>
        <w:t>总监、专业监理工程师和监理员等人员。</w:t>
      </w:r>
    </w:p>
    <w:p w14:paraId="2C4D02B6">
      <w:pPr>
        <w:widowControl/>
        <w:spacing w:line="380" w:lineRule="exact"/>
        <w:ind w:firstLine="480" w:firstLineChars="200"/>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（二）工程监理单位应根据监理合同约定，向项目监理机构配备必要的办公、生活、通信、交通、检测仪器设备等设施，满足现场监理工作需要。</w:t>
      </w:r>
    </w:p>
    <w:p w14:paraId="21C54246">
      <w:pPr>
        <w:widowControl/>
        <w:spacing w:line="380" w:lineRule="exact"/>
        <w:ind w:firstLine="480" w:firstLineChars="200"/>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（三）总监理工程师变更应按规定办理备案手续，变更后总监的专业技术职称应不低于原总监的专业技术职称等级。</w:t>
      </w:r>
    </w:p>
    <w:p w14:paraId="48056687">
      <w:pPr>
        <w:widowControl/>
        <w:spacing w:line="380" w:lineRule="exact"/>
        <w:ind w:firstLine="480" w:firstLineChars="200"/>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（四）专业监理人员变动，监理单位应向委托方书面报告，并征得委托方的同意。</w:t>
      </w:r>
    </w:p>
    <w:p w14:paraId="431D463A">
      <w:pPr>
        <w:widowControl/>
        <w:spacing w:line="380" w:lineRule="exact"/>
        <w:ind w:firstLine="480" w:firstLineChars="200"/>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（五）工程监理单位应制定项目监理机构管理办法及相关管理制度，编制监理工作程序及作业指导文件，并对项目监理机构定期进行检查考核。</w:t>
      </w:r>
    </w:p>
    <w:p w14:paraId="42A7D9FC">
      <w:pPr>
        <w:widowControl/>
        <w:spacing w:line="380" w:lineRule="exact"/>
        <w:ind w:firstLine="482" w:firstLineChars="200"/>
        <w:rPr>
          <w:rFonts w:hint="eastAsia"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第九条  总监理工程师管理</w:t>
      </w:r>
    </w:p>
    <w:p w14:paraId="5E82B0F8">
      <w:pPr>
        <w:widowControl/>
        <w:spacing w:line="380" w:lineRule="exact"/>
        <w:ind w:firstLine="720" w:firstLineChars="300"/>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（一）工程监理单位法定代表人应按监理合同约定委派总监理工程师，并进行书面授权。</w:t>
      </w:r>
    </w:p>
    <w:p w14:paraId="34486E39">
      <w:pPr>
        <w:widowControl/>
        <w:spacing w:line="380" w:lineRule="exact"/>
        <w:ind w:firstLine="720" w:firstLineChars="300"/>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（二）工程监理单位应制定总监理工程师工作行为管理办法或绩效考核制度，并进行一年不少于一次的工作绩效及履约情况考核。</w:t>
      </w:r>
    </w:p>
    <w:p w14:paraId="3D1C3835">
      <w:pPr>
        <w:widowControl/>
        <w:spacing w:line="380" w:lineRule="exact"/>
        <w:ind w:firstLine="720" w:firstLineChars="300"/>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（三）工程监理单位每季度应不少于一次组织总监理工程师进行培训或业务交流讲评，不断提高总监理工程师的业务水平、专业素养和自律能力。</w:t>
      </w:r>
    </w:p>
    <w:p w14:paraId="49C3F589">
      <w:pPr>
        <w:spacing w:line="380" w:lineRule="exact"/>
        <w:ind w:firstLine="723" w:firstLineChars="300"/>
        <w:rPr>
          <w:rFonts w:hint="eastAsia" w:ascii="仿宋" w:hAnsi="仿宋" w:eastAsia="仿宋"/>
          <w:b/>
          <w:bCs/>
          <w:color w:val="000000" w:themeColor="text1"/>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第十条  项目质量、安全管理与技术支持</w:t>
      </w:r>
    </w:p>
    <w:p w14:paraId="34A7A57D">
      <w:pPr>
        <w:spacing w:line="380" w:lineRule="exact"/>
        <w:ind w:firstLine="960" w:firstLineChars="400"/>
        <w:rPr>
          <w:rFonts w:hint="eastAsia" w:ascii="仿宋" w:hAnsi="仿宋" w:eastAsia="仿宋"/>
          <w:color w:val="000000" w:themeColor="text1"/>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工程监理单位应制定质量、安全管理制度和管理体系，严把监理策划、成果文件审核关，强化项目</w:t>
      </w:r>
      <w:r>
        <w:rPr>
          <w:rFonts w:ascii="仿宋" w:hAnsi="仿宋" w:eastAsia="仿宋"/>
          <w:color w:val="000000" w:themeColor="text1"/>
          <w:sz w:val="24"/>
          <w14:textFill>
            <w14:solidFill>
              <w14:schemeClr w14:val="tx1"/>
            </w14:solidFill>
          </w14:textFill>
        </w:rPr>
        <w:t>管理，建立内部</w:t>
      </w:r>
      <w:r>
        <w:rPr>
          <w:rFonts w:hint="eastAsia" w:ascii="仿宋" w:hAnsi="仿宋" w:eastAsia="仿宋"/>
          <w:color w:val="000000" w:themeColor="text1"/>
          <w:sz w:val="24"/>
          <w14:textFill>
            <w14:solidFill>
              <w14:schemeClr w14:val="tx1"/>
            </w14:solidFill>
          </w14:textFill>
        </w:rPr>
        <w:t>绩效</w:t>
      </w:r>
      <w:r>
        <w:rPr>
          <w:rFonts w:ascii="仿宋" w:hAnsi="仿宋" w:eastAsia="仿宋"/>
          <w:color w:val="000000" w:themeColor="text1"/>
          <w:sz w:val="24"/>
          <w14:textFill>
            <w14:solidFill>
              <w14:schemeClr w14:val="tx1"/>
            </w14:solidFill>
          </w14:textFill>
        </w:rPr>
        <w:t>考核制度，加强对项目监理机构的检查、考核和技术支持。</w:t>
      </w:r>
    </w:p>
    <w:p w14:paraId="501DCB46">
      <w:pPr>
        <w:pStyle w:val="7"/>
        <w:widowControl/>
        <w:spacing w:beforeAutospacing="0" w:afterAutospacing="0" w:line="380" w:lineRule="exact"/>
        <w:ind w:firstLine="723" w:firstLineChars="300"/>
        <w:rPr>
          <w:rFonts w:hint="eastAsia" w:ascii="仿宋" w:hAnsi="仿宋" w:eastAsia="仿宋"/>
          <w:b/>
          <w:bCs/>
          <w:color w:val="000000" w:themeColor="text1"/>
          <w14:textFill>
            <w14:solidFill>
              <w14:schemeClr w14:val="tx1"/>
            </w14:solidFill>
          </w14:textFill>
        </w:rPr>
      </w:pPr>
      <w:r>
        <w:rPr>
          <w:rFonts w:hint="eastAsia" w:ascii="仿宋" w:hAnsi="仿宋" w:eastAsia="仿宋"/>
          <w:b/>
          <w:bCs/>
          <w:color w:val="000000" w:themeColor="text1"/>
          <w14:textFill>
            <w14:solidFill>
              <w14:schemeClr w14:val="tx1"/>
            </w14:solidFill>
          </w14:textFill>
        </w:rPr>
        <w:t>第十一条  监理人员培训管理</w:t>
      </w:r>
    </w:p>
    <w:p w14:paraId="05836E65">
      <w:pPr>
        <w:widowControl/>
        <w:spacing w:line="380" w:lineRule="exact"/>
        <w:ind w:firstLine="720" w:firstLineChars="300"/>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工程监理单位应</w:t>
      </w:r>
      <w:r>
        <w:rPr>
          <w:rFonts w:ascii="仿宋" w:hAnsi="仿宋" w:eastAsia="仿宋"/>
          <w:color w:val="000000" w:themeColor="text1"/>
          <w:sz w:val="24"/>
          <w14:textFill>
            <w14:solidFill>
              <w14:schemeClr w14:val="tx1"/>
            </w14:solidFill>
          </w14:textFill>
        </w:rPr>
        <w:t>建立</w:t>
      </w:r>
      <w:r>
        <w:rPr>
          <w:rFonts w:hint="eastAsia" w:ascii="仿宋" w:hAnsi="仿宋" w:eastAsia="仿宋"/>
          <w:color w:val="000000" w:themeColor="text1"/>
          <w:sz w:val="24"/>
          <w14:textFill>
            <w14:solidFill>
              <w14:schemeClr w14:val="tx1"/>
            </w14:solidFill>
          </w14:textFill>
        </w:rPr>
        <w:t>监理人员</w:t>
      </w:r>
      <w:r>
        <w:rPr>
          <w:rFonts w:ascii="仿宋" w:hAnsi="仿宋" w:eastAsia="仿宋"/>
          <w:color w:val="000000" w:themeColor="text1"/>
          <w:sz w:val="24"/>
          <w14:textFill>
            <w14:solidFill>
              <w14:schemeClr w14:val="tx1"/>
            </w14:solidFill>
          </w14:textFill>
        </w:rPr>
        <w:t>教育培训制度，健全考评体系，督促</w:t>
      </w:r>
      <w:r>
        <w:rPr>
          <w:rFonts w:hint="eastAsia" w:ascii="仿宋" w:hAnsi="仿宋" w:eastAsia="仿宋"/>
          <w:color w:val="000000" w:themeColor="text1"/>
          <w:sz w:val="24"/>
          <w14:textFill>
            <w14:solidFill>
              <w14:schemeClr w14:val="tx1"/>
            </w14:solidFill>
          </w14:textFill>
        </w:rPr>
        <w:t>监理人员不断</w:t>
      </w:r>
      <w:r>
        <w:rPr>
          <w:rFonts w:ascii="仿宋" w:hAnsi="仿宋" w:eastAsia="仿宋"/>
          <w:color w:val="000000" w:themeColor="text1"/>
          <w:sz w:val="24"/>
          <w14:textFill>
            <w14:solidFill>
              <w14:schemeClr w14:val="tx1"/>
            </w14:solidFill>
          </w14:textFill>
        </w:rPr>
        <w:t>更新</w:t>
      </w:r>
      <w:r>
        <w:rPr>
          <w:rFonts w:hint="eastAsia" w:ascii="仿宋" w:hAnsi="仿宋" w:eastAsia="仿宋"/>
          <w:color w:val="000000" w:themeColor="text1"/>
          <w:sz w:val="24"/>
          <w14:textFill>
            <w14:solidFill>
              <w14:schemeClr w14:val="tx1"/>
            </w14:solidFill>
          </w14:textFill>
        </w:rPr>
        <w:t>专业</w:t>
      </w:r>
      <w:r>
        <w:rPr>
          <w:rFonts w:ascii="仿宋" w:hAnsi="仿宋" w:eastAsia="仿宋"/>
          <w:color w:val="000000" w:themeColor="text1"/>
          <w:sz w:val="24"/>
          <w14:textFill>
            <w14:solidFill>
              <w14:schemeClr w14:val="tx1"/>
            </w14:solidFill>
          </w14:textFill>
        </w:rPr>
        <w:t>知识</w:t>
      </w:r>
      <w:r>
        <w:rPr>
          <w:rFonts w:hint="eastAsia" w:ascii="仿宋" w:hAnsi="仿宋" w:eastAsia="仿宋"/>
          <w:color w:val="000000" w:themeColor="text1"/>
          <w:sz w:val="24"/>
          <w14:textFill>
            <w14:solidFill>
              <w14:schemeClr w14:val="tx1"/>
            </w14:solidFill>
          </w14:textFill>
        </w:rPr>
        <w:t>，强化新</w:t>
      </w:r>
      <w:r>
        <w:rPr>
          <w:rFonts w:ascii="仿宋" w:hAnsi="仿宋" w:eastAsia="仿宋"/>
          <w:color w:val="000000" w:themeColor="text1"/>
          <w:sz w:val="24"/>
          <w14:textFill>
            <w14:solidFill>
              <w14:schemeClr w14:val="tx1"/>
            </w14:solidFill>
          </w14:textFill>
        </w:rPr>
        <w:t>技术学习</w:t>
      </w:r>
      <w:r>
        <w:rPr>
          <w:rFonts w:hint="eastAsia" w:ascii="仿宋" w:hAnsi="仿宋" w:eastAsia="仿宋"/>
          <w:color w:val="000000" w:themeColor="text1"/>
          <w:sz w:val="24"/>
          <w14:textFill>
            <w14:solidFill>
              <w14:schemeClr w14:val="tx1"/>
            </w14:solidFill>
          </w14:textFill>
        </w:rPr>
        <w:t>，提升专业技术知识与管理能力</w:t>
      </w:r>
      <w:r>
        <w:rPr>
          <w:rFonts w:ascii="仿宋" w:hAnsi="仿宋" w:eastAsia="仿宋"/>
          <w:color w:val="000000" w:themeColor="text1"/>
          <w:sz w:val="24"/>
          <w14:textFill>
            <w14:solidFill>
              <w14:schemeClr w14:val="tx1"/>
            </w14:solidFill>
          </w14:textFill>
        </w:rPr>
        <w:t>。</w:t>
      </w:r>
    </w:p>
    <w:p w14:paraId="01011513">
      <w:pPr>
        <w:widowControl/>
        <w:spacing w:line="380" w:lineRule="exact"/>
        <w:ind w:firstLine="720" w:firstLineChars="300"/>
        <w:rPr>
          <w:rFonts w:hint="eastAsia" w:ascii="仿宋" w:hAnsi="仿宋" w:eastAsia="仿宋" w:cs="宋体"/>
          <w:color w:val="000000" w:themeColor="text1"/>
          <w:kern w:val="0"/>
          <w:sz w:val="24"/>
          <w14:textFill>
            <w14:solidFill>
              <w14:schemeClr w14:val="tx1"/>
            </w14:solidFill>
          </w14:textFill>
        </w:rPr>
      </w:pPr>
    </w:p>
    <w:p w14:paraId="1884E3B4">
      <w:pPr>
        <w:widowControl/>
        <w:numPr>
          <w:ilvl w:val="0"/>
          <w:numId w:val="1"/>
        </w:numPr>
        <w:spacing w:line="380" w:lineRule="exact"/>
        <w:ind w:firstLine="723" w:firstLineChars="300"/>
        <w:jc w:val="center"/>
        <w:rPr>
          <w:rFonts w:hint="eastAsia" w:ascii="仿宋" w:hAnsi="仿宋" w:eastAsia="仿宋" w:cs="宋体"/>
          <w:b/>
          <w:bCs/>
          <w:kern w:val="0"/>
          <w:sz w:val="24"/>
        </w:rPr>
      </w:pPr>
      <w:r>
        <w:rPr>
          <w:rFonts w:hint="eastAsia" w:ascii="仿宋" w:hAnsi="仿宋" w:eastAsia="仿宋" w:cs="宋体"/>
          <w:b/>
          <w:bCs/>
          <w:kern w:val="0"/>
          <w:sz w:val="24"/>
        </w:rPr>
        <w:t xml:space="preserve">  项目监理机构</w:t>
      </w:r>
    </w:p>
    <w:p w14:paraId="0FDF729E">
      <w:pPr>
        <w:widowControl/>
        <w:spacing w:line="380" w:lineRule="exact"/>
        <w:ind w:firstLine="723" w:firstLineChars="300"/>
        <w:rPr>
          <w:rFonts w:hint="eastAsia" w:ascii="仿宋" w:hAnsi="仿宋" w:eastAsia="仿宋"/>
          <w:sz w:val="24"/>
        </w:rPr>
      </w:pPr>
      <w:r>
        <w:rPr>
          <w:rFonts w:hint="eastAsia" w:ascii="仿宋" w:hAnsi="仿宋" w:eastAsia="仿宋"/>
          <w:b/>
          <w:bCs/>
          <w:color w:val="000000" w:themeColor="text1"/>
          <w:sz w:val="24"/>
          <w14:textFill>
            <w14:solidFill>
              <w14:schemeClr w14:val="tx1"/>
            </w14:solidFill>
          </w14:textFill>
        </w:rPr>
        <w:t xml:space="preserve">第十二条  </w:t>
      </w:r>
      <w:r>
        <w:rPr>
          <w:rFonts w:hint="eastAsia" w:ascii="仿宋" w:hAnsi="仿宋" w:eastAsia="仿宋"/>
          <w:color w:val="000000" w:themeColor="text1"/>
          <w:sz w:val="24"/>
          <w14:textFill>
            <w14:solidFill>
              <w14:schemeClr w14:val="tx1"/>
            </w14:solidFill>
          </w14:textFill>
        </w:rPr>
        <w:t>项目监理机构应遵守</w:t>
      </w:r>
      <w:r>
        <w:rPr>
          <w:rFonts w:hint="eastAsia" w:ascii="仿宋" w:hAnsi="仿宋" w:eastAsia="仿宋"/>
          <w:sz w:val="24"/>
        </w:rPr>
        <w:t>国务院《建设工程质量管理条例》（中华人民共和国国务院令第279号）、《建设工程安全生产管理条例》和住建部《建设工程监理规范》等文件以及</w:t>
      </w:r>
      <w:r>
        <w:rPr>
          <w:rFonts w:hint="eastAsia" w:ascii="仿宋" w:hAnsi="仿宋" w:eastAsia="仿宋"/>
          <w:color w:val="000000" w:themeColor="text1"/>
          <w:sz w:val="24"/>
          <w14:textFill>
            <w14:solidFill>
              <w14:schemeClr w14:val="tx1"/>
            </w14:solidFill>
          </w14:textFill>
        </w:rPr>
        <w:t>有关行业自律文件，严格执行监理工作标准，落实监理质量责任，履行安全生产管理法定职责，为委托单位提供专业化、规范化、标准化的专业工程监理服务。</w:t>
      </w:r>
    </w:p>
    <w:p w14:paraId="07A7E979">
      <w:pPr>
        <w:widowControl/>
        <w:spacing w:line="380" w:lineRule="exact"/>
        <w:ind w:firstLine="723" w:firstLineChars="300"/>
        <w:rPr>
          <w:rFonts w:hint="eastAsia" w:ascii="仿宋" w:hAnsi="仿宋" w:eastAsia="仿宋"/>
          <w:sz w:val="24"/>
        </w:rPr>
      </w:pPr>
      <w:r>
        <w:rPr>
          <w:rFonts w:hint="eastAsia" w:ascii="仿宋" w:hAnsi="仿宋" w:eastAsia="仿宋"/>
          <w:b/>
          <w:bCs/>
          <w:sz w:val="24"/>
        </w:rPr>
        <w:t>第十三条</w:t>
      </w:r>
      <w:r>
        <w:rPr>
          <w:rFonts w:hint="eastAsia" w:ascii="仿宋" w:hAnsi="仿宋" w:eastAsia="仿宋"/>
          <w:sz w:val="24"/>
        </w:rPr>
        <w:t xml:space="preserve">  项目监理机构应建立健全质量、安全、环境保护管理体系，建立并落实以下管理制度（包括但不限于）：</w:t>
      </w:r>
    </w:p>
    <w:p w14:paraId="514E17F4">
      <w:pPr>
        <w:widowControl/>
        <w:spacing w:line="380" w:lineRule="exact"/>
        <w:ind w:firstLine="720" w:firstLineChars="300"/>
        <w:rPr>
          <w:rFonts w:hint="eastAsia" w:ascii="仿宋" w:hAnsi="仿宋" w:eastAsia="仿宋"/>
          <w:sz w:val="24"/>
        </w:rPr>
      </w:pPr>
      <w:r>
        <w:rPr>
          <w:rFonts w:hint="eastAsia" w:ascii="仿宋" w:hAnsi="仿宋" w:eastAsia="仿宋"/>
          <w:sz w:val="24"/>
        </w:rPr>
        <w:t>（一）设计交底与图纸会审制度。</w:t>
      </w:r>
    </w:p>
    <w:p w14:paraId="4A82BE75">
      <w:pPr>
        <w:widowControl/>
        <w:spacing w:line="380" w:lineRule="exact"/>
        <w:ind w:firstLine="720" w:firstLineChars="300"/>
        <w:rPr>
          <w:rFonts w:hint="eastAsia" w:ascii="仿宋" w:hAnsi="仿宋" w:eastAsia="仿宋"/>
          <w:sz w:val="24"/>
        </w:rPr>
      </w:pPr>
      <w:r>
        <w:rPr>
          <w:rFonts w:hint="eastAsia" w:ascii="仿宋" w:hAnsi="仿宋" w:eastAsia="仿宋"/>
          <w:sz w:val="24"/>
        </w:rPr>
        <w:t>（二）监理会议制度。</w:t>
      </w:r>
    </w:p>
    <w:p w14:paraId="15D284E5">
      <w:pPr>
        <w:widowControl/>
        <w:spacing w:line="380" w:lineRule="exact"/>
        <w:ind w:firstLine="720" w:firstLineChars="300"/>
        <w:rPr>
          <w:rFonts w:hint="eastAsia" w:ascii="仿宋" w:hAnsi="仿宋" w:eastAsia="仿宋"/>
          <w:sz w:val="24"/>
        </w:rPr>
      </w:pPr>
      <w:r>
        <w:rPr>
          <w:rFonts w:hint="eastAsia" w:ascii="仿宋" w:hAnsi="仿宋" w:eastAsia="仿宋"/>
          <w:sz w:val="24"/>
        </w:rPr>
        <w:t>（三）巡视检查制度。</w:t>
      </w:r>
    </w:p>
    <w:p w14:paraId="5F057D66">
      <w:pPr>
        <w:widowControl/>
        <w:spacing w:line="380" w:lineRule="exact"/>
        <w:ind w:firstLine="720" w:firstLineChars="300"/>
        <w:rPr>
          <w:rFonts w:hint="eastAsia" w:ascii="仿宋" w:hAnsi="仿宋" w:eastAsia="仿宋"/>
          <w:sz w:val="24"/>
        </w:rPr>
      </w:pPr>
      <w:r>
        <w:rPr>
          <w:rFonts w:hint="eastAsia" w:ascii="仿宋" w:hAnsi="仿宋" w:eastAsia="仿宋"/>
          <w:sz w:val="24"/>
        </w:rPr>
        <w:t>（四）检验与验收制度。</w:t>
      </w:r>
    </w:p>
    <w:p w14:paraId="6123BBD4">
      <w:pPr>
        <w:widowControl/>
        <w:spacing w:line="380" w:lineRule="exact"/>
        <w:ind w:firstLine="720" w:firstLineChars="300"/>
        <w:rPr>
          <w:rFonts w:hint="eastAsia" w:ascii="仿宋" w:hAnsi="仿宋" w:eastAsia="仿宋"/>
          <w:sz w:val="24"/>
        </w:rPr>
      </w:pPr>
      <w:r>
        <w:rPr>
          <w:rFonts w:hint="eastAsia" w:ascii="仿宋" w:hAnsi="仿宋" w:eastAsia="仿宋"/>
          <w:sz w:val="24"/>
        </w:rPr>
        <w:t>（五）整改复查制度。</w:t>
      </w:r>
    </w:p>
    <w:p w14:paraId="6E944EA8">
      <w:pPr>
        <w:widowControl/>
        <w:spacing w:line="380" w:lineRule="exact"/>
        <w:ind w:firstLine="720" w:firstLineChars="300"/>
        <w:rPr>
          <w:rFonts w:hint="eastAsia" w:ascii="仿宋" w:hAnsi="仿宋" w:eastAsia="仿宋"/>
          <w:sz w:val="24"/>
        </w:rPr>
      </w:pPr>
      <w:r>
        <w:rPr>
          <w:rFonts w:hint="eastAsia" w:ascii="仿宋" w:hAnsi="仿宋" w:eastAsia="仿宋"/>
          <w:sz w:val="24"/>
        </w:rPr>
        <w:t>（六）工程变更处理制度。</w:t>
      </w:r>
    </w:p>
    <w:p w14:paraId="4C2AF4BC">
      <w:pPr>
        <w:widowControl/>
        <w:spacing w:line="380" w:lineRule="exact"/>
        <w:ind w:left="895" w:leftChars="426"/>
        <w:rPr>
          <w:rFonts w:hint="eastAsia" w:ascii="仿宋" w:hAnsi="仿宋" w:eastAsia="仿宋"/>
          <w:sz w:val="24"/>
        </w:rPr>
      </w:pPr>
      <w:r>
        <w:rPr>
          <w:rFonts w:hint="eastAsia" w:ascii="仿宋" w:hAnsi="仿宋" w:eastAsia="仿宋"/>
          <w:sz w:val="24"/>
        </w:rPr>
        <w:t>（七）监理报告制度。</w:t>
      </w:r>
      <w:r>
        <w:rPr>
          <w:rFonts w:hint="eastAsia" w:ascii="仿宋" w:hAnsi="仿宋" w:eastAsia="仿宋"/>
          <w:sz w:val="24"/>
        </w:rPr>
        <w:br w:type="textWrapping"/>
      </w:r>
      <w:r>
        <w:rPr>
          <w:rFonts w:hint="eastAsia" w:ascii="仿宋" w:hAnsi="仿宋" w:eastAsia="仿宋"/>
          <w:sz w:val="24"/>
        </w:rPr>
        <w:t>（八）教育培训制度。</w:t>
      </w:r>
      <w:r>
        <w:rPr>
          <w:rFonts w:hint="eastAsia" w:ascii="仿宋" w:hAnsi="仿宋" w:eastAsia="仿宋"/>
          <w:sz w:val="24"/>
        </w:rPr>
        <w:br w:type="textWrapping"/>
      </w:r>
      <w:r>
        <w:rPr>
          <w:rFonts w:hint="eastAsia" w:ascii="仿宋" w:hAnsi="仿宋" w:eastAsia="仿宋"/>
          <w:sz w:val="24"/>
        </w:rPr>
        <w:t>（九）施工质量、生产安全事故处理制度。</w:t>
      </w:r>
    </w:p>
    <w:p w14:paraId="22331CAF">
      <w:pPr>
        <w:widowControl/>
        <w:spacing w:line="380" w:lineRule="exact"/>
        <w:ind w:firstLine="720" w:firstLineChars="300"/>
        <w:rPr>
          <w:rFonts w:hint="eastAsia" w:ascii="仿宋" w:hAnsi="仿宋" w:eastAsia="仿宋"/>
          <w:sz w:val="24"/>
        </w:rPr>
      </w:pPr>
      <w:r>
        <w:rPr>
          <w:rFonts w:hint="eastAsia" w:ascii="仿宋" w:hAnsi="仿宋" w:eastAsia="仿宋"/>
          <w:sz w:val="24"/>
        </w:rPr>
        <w:t>（十）资料管理与归档制度。</w:t>
      </w:r>
    </w:p>
    <w:p w14:paraId="548D1845">
      <w:pPr>
        <w:widowControl/>
        <w:spacing w:line="380" w:lineRule="exact"/>
        <w:ind w:firstLine="960" w:firstLineChars="400"/>
        <w:rPr>
          <w:rFonts w:hint="eastAsia" w:ascii="仿宋" w:hAnsi="仿宋" w:eastAsia="仿宋"/>
          <w:sz w:val="24"/>
        </w:rPr>
      </w:pPr>
      <w:r>
        <w:rPr>
          <w:rFonts w:hint="eastAsia" w:ascii="仿宋" w:hAnsi="仿宋" w:eastAsia="仿宋"/>
          <w:sz w:val="24"/>
        </w:rPr>
        <w:t>（十一）监理工作考核制度。</w:t>
      </w:r>
    </w:p>
    <w:p w14:paraId="1065372D">
      <w:pPr>
        <w:widowControl/>
        <w:spacing w:line="380" w:lineRule="exact"/>
        <w:ind w:firstLine="960" w:firstLineChars="400"/>
        <w:rPr>
          <w:rFonts w:hint="eastAsia" w:ascii="仿宋" w:hAnsi="仿宋" w:eastAsia="仿宋"/>
          <w:sz w:val="24"/>
        </w:rPr>
      </w:pPr>
      <w:r>
        <w:rPr>
          <w:rFonts w:hint="eastAsia" w:ascii="仿宋" w:hAnsi="仿宋" w:eastAsia="仿宋"/>
          <w:sz w:val="24"/>
        </w:rPr>
        <w:t>（十二）监理人员管理制度。</w:t>
      </w:r>
    </w:p>
    <w:p w14:paraId="22C30B1E">
      <w:pPr>
        <w:widowControl/>
        <w:spacing w:line="380" w:lineRule="exact"/>
        <w:ind w:firstLine="482" w:firstLineChars="200"/>
        <w:rPr>
          <w:rFonts w:hint="eastAsia" w:ascii="仿宋" w:hAnsi="仿宋" w:eastAsia="仿宋" w:cs="宋体"/>
          <w:b/>
          <w:bCs/>
          <w:kern w:val="0"/>
          <w:sz w:val="24"/>
        </w:rPr>
      </w:pPr>
      <w:r>
        <w:rPr>
          <w:rFonts w:hint="eastAsia" w:ascii="仿宋" w:hAnsi="仿宋" w:eastAsia="仿宋" w:cs="宋体"/>
          <w:b/>
          <w:bCs/>
          <w:kern w:val="0"/>
          <w:sz w:val="24"/>
        </w:rPr>
        <w:t>第十四条  监理审核审查工作</w:t>
      </w:r>
    </w:p>
    <w:p w14:paraId="77F631D3">
      <w:pPr>
        <w:widowControl/>
        <w:numPr>
          <w:ilvl w:val="0"/>
          <w:numId w:val="2"/>
        </w:numPr>
        <w:spacing w:line="380" w:lineRule="exact"/>
        <w:ind w:firstLine="720" w:firstLineChars="300"/>
        <w:rPr>
          <w:rFonts w:hint="eastAsia" w:ascii="仿宋" w:hAnsi="仿宋" w:eastAsia="仿宋" w:cs="宋体"/>
          <w:kern w:val="0"/>
          <w:sz w:val="24"/>
        </w:rPr>
      </w:pPr>
      <w:r>
        <w:rPr>
          <w:rFonts w:hint="eastAsia" w:ascii="仿宋" w:hAnsi="仿宋" w:eastAsia="仿宋" w:cs="宋体"/>
          <w:kern w:val="0"/>
          <w:sz w:val="24"/>
        </w:rPr>
        <w:t>审核施工组织设计和施工专项方案</w:t>
      </w:r>
    </w:p>
    <w:p w14:paraId="78095CD1">
      <w:pPr>
        <w:widowControl/>
        <w:spacing w:line="380" w:lineRule="exact"/>
        <w:ind w:firstLine="480" w:firstLineChars="200"/>
        <w:rPr>
          <w:rFonts w:hint="eastAsia" w:ascii="仿宋" w:hAnsi="仿宋" w:eastAsia="仿宋" w:cs="宋体"/>
          <w:kern w:val="0"/>
          <w:sz w:val="24"/>
        </w:rPr>
      </w:pPr>
      <w:r>
        <w:rPr>
          <w:rFonts w:hint="eastAsia" w:ascii="仿宋" w:hAnsi="仿宋" w:eastAsia="仿宋" w:cs="宋体"/>
          <w:kern w:val="0"/>
          <w:sz w:val="24"/>
        </w:rPr>
        <w:t>监理对施工组织设计和专项方案的审查应满足程序性、符合性、针对性要求。对于超过一定规模的危险性较大的分部分项工程专项施工方案，如专家评审时提出修改要求，应对施工单位修改后再次报审的方案进行审查，跟踪闭合专家意见。</w:t>
      </w:r>
    </w:p>
    <w:p w14:paraId="3EE69E3E">
      <w:pPr>
        <w:widowControl/>
        <w:numPr>
          <w:ilvl w:val="0"/>
          <w:numId w:val="2"/>
        </w:numPr>
        <w:spacing w:line="380" w:lineRule="exact"/>
        <w:ind w:firstLine="720" w:firstLineChars="300"/>
        <w:rPr>
          <w:rFonts w:hint="eastAsia" w:ascii="仿宋" w:hAnsi="仿宋" w:eastAsia="仿宋" w:cs="宋体"/>
          <w:kern w:val="0"/>
          <w:sz w:val="24"/>
        </w:rPr>
      </w:pPr>
      <w:r>
        <w:rPr>
          <w:rFonts w:hint="eastAsia" w:ascii="仿宋" w:hAnsi="仿宋" w:eastAsia="仿宋" w:cs="宋体"/>
          <w:kern w:val="0"/>
          <w:sz w:val="24"/>
        </w:rPr>
        <w:t>审查总包、分包、劳务单位的资质、组织管理体系、人员资格及到岗情况。</w:t>
      </w:r>
    </w:p>
    <w:p w14:paraId="45809998">
      <w:pPr>
        <w:widowControl/>
        <w:numPr>
          <w:ilvl w:val="0"/>
          <w:numId w:val="2"/>
        </w:numPr>
        <w:spacing w:line="380" w:lineRule="exact"/>
        <w:ind w:firstLine="720" w:firstLineChars="300"/>
        <w:rPr>
          <w:rFonts w:hint="eastAsia" w:ascii="仿宋" w:hAnsi="仿宋" w:eastAsia="仿宋" w:cs="宋体"/>
          <w:kern w:val="0"/>
          <w:sz w:val="24"/>
        </w:rPr>
      </w:pPr>
      <w:r>
        <w:rPr>
          <w:rFonts w:hint="eastAsia" w:ascii="仿宋" w:hAnsi="仿宋" w:eastAsia="仿宋" w:cs="宋体"/>
          <w:kern w:val="0"/>
          <w:sz w:val="24"/>
        </w:rPr>
        <w:t>审查施工单位质量、技术、安全管理体系及管理制度建立情况。</w:t>
      </w:r>
    </w:p>
    <w:p w14:paraId="3716D8D1">
      <w:pPr>
        <w:widowControl/>
        <w:numPr>
          <w:ilvl w:val="0"/>
          <w:numId w:val="2"/>
        </w:numPr>
        <w:spacing w:line="380" w:lineRule="exact"/>
        <w:ind w:firstLine="720" w:firstLineChars="300"/>
        <w:rPr>
          <w:rFonts w:hint="eastAsia" w:ascii="仿宋" w:hAnsi="仿宋" w:eastAsia="仿宋" w:cs="宋体"/>
          <w:kern w:val="0"/>
          <w:sz w:val="24"/>
        </w:rPr>
      </w:pPr>
      <w:r>
        <w:rPr>
          <w:rFonts w:hint="eastAsia" w:ascii="仿宋" w:hAnsi="仿宋" w:eastAsia="仿宋" w:cs="宋体"/>
          <w:kern w:val="0"/>
          <w:sz w:val="24"/>
        </w:rPr>
        <w:t>审查总包、分包单位的安全许可证、特殊工种上岗证等报审资料，并留存审核记录。</w:t>
      </w:r>
    </w:p>
    <w:p w14:paraId="22C6A557">
      <w:pPr>
        <w:widowControl/>
        <w:numPr>
          <w:ilvl w:val="0"/>
          <w:numId w:val="2"/>
        </w:numPr>
        <w:spacing w:line="380" w:lineRule="exact"/>
        <w:ind w:firstLine="720" w:firstLineChars="300"/>
        <w:rPr>
          <w:rFonts w:hint="eastAsia" w:ascii="仿宋" w:hAnsi="仿宋" w:eastAsia="仿宋" w:cs="宋体"/>
          <w:kern w:val="0"/>
          <w:sz w:val="24"/>
        </w:rPr>
      </w:pPr>
      <w:r>
        <w:rPr>
          <w:rFonts w:hint="eastAsia" w:ascii="仿宋" w:hAnsi="仿宋" w:eastAsia="仿宋" w:cs="宋体"/>
          <w:kern w:val="0"/>
          <w:sz w:val="24"/>
        </w:rPr>
        <w:t>核查建筑起重机械和自升式架设设施的备案与验收手续。</w:t>
      </w:r>
    </w:p>
    <w:p w14:paraId="077FD858">
      <w:pPr>
        <w:widowControl/>
        <w:spacing w:line="380" w:lineRule="exact"/>
        <w:ind w:firstLine="482" w:firstLineChars="200"/>
        <w:rPr>
          <w:rFonts w:hint="eastAsia" w:ascii="仿宋" w:hAnsi="仿宋" w:eastAsia="仿宋" w:cs="宋体"/>
          <w:b/>
          <w:bCs/>
          <w:kern w:val="0"/>
          <w:sz w:val="24"/>
        </w:rPr>
      </w:pPr>
      <w:r>
        <w:rPr>
          <w:rFonts w:hint="eastAsia" w:ascii="仿宋" w:hAnsi="仿宋" w:eastAsia="仿宋" w:cs="宋体"/>
          <w:b/>
          <w:bCs/>
          <w:kern w:val="0"/>
          <w:sz w:val="24"/>
        </w:rPr>
        <w:t>第十五条  工程质量控制</w:t>
      </w:r>
    </w:p>
    <w:p w14:paraId="0C244B81">
      <w:pPr>
        <w:pStyle w:val="7"/>
        <w:widowControl/>
        <w:spacing w:beforeAutospacing="0" w:afterAutospacing="0" w:line="380" w:lineRule="exact"/>
        <w:ind w:firstLine="720" w:firstLineChars="300"/>
        <w:rPr>
          <w:rFonts w:hint="eastAsia" w:ascii="仿宋" w:hAnsi="仿宋" w:eastAsia="仿宋" w:cs="宋体"/>
        </w:rPr>
      </w:pPr>
      <w:r>
        <w:rPr>
          <w:rFonts w:hint="eastAsia" w:ascii="仿宋" w:hAnsi="仿宋" w:eastAsia="仿宋" w:cs="宋体"/>
        </w:rPr>
        <w:t>（一）审验施工单位报送的建筑材料、构配件和设备的质量证明文件，并对建筑材料按照规定实施见证取样，建立工程材料监理台账。对建筑材料检测报告进行审核，必要时比对本市检测信息系统网上资料，检测合格后给予验收。对不合格的工程材料应提出处理意见，跟踪退场处理，并留下工作记录。</w:t>
      </w:r>
    </w:p>
    <w:p w14:paraId="0AAD507B">
      <w:pPr>
        <w:pStyle w:val="7"/>
        <w:widowControl/>
        <w:spacing w:beforeAutospacing="0" w:afterAutospacing="0" w:line="380" w:lineRule="exact"/>
        <w:ind w:firstLine="720" w:firstLineChars="300"/>
        <w:rPr>
          <w:rFonts w:hint="eastAsia" w:ascii="仿宋" w:hAnsi="仿宋" w:eastAsia="仿宋"/>
        </w:rPr>
      </w:pPr>
      <w:r>
        <w:rPr>
          <w:rFonts w:hint="eastAsia" w:ascii="仿宋" w:hAnsi="仿宋" w:eastAsia="仿宋" w:cs="宋体"/>
        </w:rPr>
        <w:t>（二）监理</w:t>
      </w:r>
      <w:r>
        <w:rPr>
          <w:rFonts w:ascii="仿宋" w:hAnsi="仿宋" w:eastAsia="仿宋"/>
        </w:rPr>
        <w:t>不得</w:t>
      </w:r>
      <w:r>
        <w:rPr>
          <w:rFonts w:hint="eastAsia" w:ascii="仿宋" w:hAnsi="仿宋" w:eastAsia="仿宋"/>
        </w:rPr>
        <w:t>在</w:t>
      </w:r>
      <w:r>
        <w:rPr>
          <w:rFonts w:ascii="仿宋" w:hAnsi="仿宋" w:eastAsia="仿宋"/>
        </w:rPr>
        <w:t>不合格的建筑材料、建筑构配件和设备</w:t>
      </w:r>
      <w:r>
        <w:rPr>
          <w:rFonts w:hint="eastAsia" w:ascii="仿宋" w:hAnsi="仿宋" w:eastAsia="仿宋"/>
        </w:rPr>
        <w:t>报审表上</w:t>
      </w:r>
      <w:r>
        <w:rPr>
          <w:rFonts w:ascii="仿宋" w:hAnsi="仿宋" w:eastAsia="仿宋"/>
        </w:rPr>
        <w:t>签字</w:t>
      </w:r>
      <w:r>
        <w:rPr>
          <w:rFonts w:hint="eastAsia" w:ascii="仿宋" w:hAnsi="仿宋" w:eastAsia="仿宋"/>
        </w:rPr>
        <w:t>，检测不合格的</w:t>
      </w:r>
      <w:r>
        <w:rPr>
          <w:rFonts w:ascii="仿宋" w:hAnsi="仿宋" w:eastAsia="仿宋"/>
        </w:rPr>
        <w:t>建筑材料、建筑构配件和设备</w:t>
      </w:r>
      <w:r>
        <w:rPr>
          <w:rFonts w:hint="eastAsia" w:ascii="仿宋" w:hAnsi="仿宋" w:eastAsia="仿宋"/>
        </w:rPr>
        <w:t>不得用于工程</w:t>
      </w:r>
      <w:r>
        <w:rPr>
          <w:rFonts w:ascii="仿宋" w:hAnsi="仿宋" w:eastAsia="仿宋"/>
        </w:rPr>
        <w:t>。</w:t>
      </w:r>
    </w:p>
    <w:p w14:paraId="1EDD77DC">
      <w:pPr>
        <w:widowControl/>
        <w:spacing w:line="380" w:lineRule="exact"/>
        <w:ind w:firstLine="720" w:firstLineChars="300"/>
        <w:rPr>
          <w:rFonts w:hint="eastAsia" w:ascii="仿宋" w:hAnsi="仿宋" w:eastAsia="仿宋" w:cs="宋体"/>
          <w:kern w:val="0"/>
          <w:sz w:val="24"/>
        </w:rPr>
      </w:pPr>
      <w:r>
        <w:rPr>
          <w:rFonts w:hint="eastAsia" w:ascii="仿宋" w:hAnsi="仿宋" w:eastAsia="仿宋" w:cs="宋体"/>
          <w:kern w:val="0"/>
          <w:sz w:val="24"/>
        </w:rPr>
        <w:t>（三）按有关规定或监理合同要求委托具有相应资质的检测机构做好平行检测，平行检测如不合格，按照规定扩大检测范围、数量或改变检测方式，如仍然不合格，则判定为不合格。</w:t>
      </w:r>
    </w:p>
    <w:p w14:paraId="17C5B22C">
      <w:pPr>
        <w:widowControl/>
        <w:spacing w:line="380" w:lineRule="exact"/>
        <w:ind w:firstLine="720" w:firstLineChars="300"/>
        <w:rPr>
          <w:rFonts w:hint="eastAsia" w:ascii="仿宋" w:hAnsi="仿宋" w:eastAsia="仿宋" w:cs="宋体"/>
          <w:sz w:val="24"/>
        </w:rPr>
      </w:pPr>
      <w:r>
        <w:rPr>
          <w:rFonts w:hint="eastAsia" w:ascii="仿宋" w:hAnsi="仿宋" w:eastAsia="仿宋" w:cs="宋体"/>
          <w:kern w:val="0"/>
          <w:sz w:val="24"/>
        </w:rPr>
        <w:t>（四）监理应严格执行工程质量验收程序，</w:t>
      </w:r>
      <w:r>
        <w:rPr>
          <w:rFonts w:hint="eastAsia" w:ascii="仿宋" w:hAnsi="仿宋" w:eastAsia="仿宋" w:cs="宋体"/>
          <w:sz w:val="24"/>
        </w:rPr>
        <w:t>对施工单位提交</w:t>
      </w:r>
      <w:r>
        <w:rPr>
          <w:rFonts w:hint="eastAsia" w:ascii="仿宋" w:hAnsi="仿宋" w:eastAsia="仿宋" w:cs="宋体"/>
          <w:kern w:val="0"/>
          <w:sz w:val="24"/>
        </w:rPr>
        <w:t>的基坑开挖、混凝土浇灌、构件起吊等申报，依据相关规定检查后及时予以审批或签认。</w:t>
      </w:r>
    </w:p>
    <w:p w14:paraId="2126E38B">
      <w:pPr>
        <w:widowControl/>
        <w:spacing w:line="380" w:lineRule="exact"/>
        <w:ind w:firstLine="480" w:firstLineChars="200"/>
        <w:rPr>
          <w:rFonts w:hint="eastAsia" w:ascii="仿宋" w:hAnsi="仿宋" w:eastAsia="仿宋" w:cs="宋体"/>
          <w:kern w:val="0"/>
          <w:sz w:val="24"/>
        </w:rPr>
      </w:pPr>
      <w:r>
        <w:rPr>
          <w:rFonts w:hint="eastAsia" w:ascii="仿宋" w:hAnsi="仿宋" w:eastAsia="仿宋" w:cs="宋体"/>
          <w:kern w:val="0"/>
          <w:sz w:val="24"/>
        </w:rPr>
        <w:t>（五）施工过程检查及验收</w:t>
      </w:r>
    </w:p>
    <w:p w14:paraId="18CBE663">
      <w:pPr>
        <w:widowControl/>
        <w:spacing w:line="380" w:lineRule="exact"/>
        <w:ind w:firstLine="480" w:firstLineChars="200"/>
        <w:rPr>
          <w:rFonts w:hint="eastAsia" w:ascii="仿宋" w:hAnsi="仿宋" w:eastAsia="仿宋" w:cs="宋体"/>
          <w:kern w:val="0"/>
          <w:sz w:val="24"/>
        </w:rPr>
      </w:pPr>
      <w:r>
        <w:rPr>
          <w:rFonts w:hint="eastAsia" w:ascii="仿宋" w:hAnsi="仿宋" w:eastAsia="仿宋" w:cs="宋体"/>
          <w:kern w:val="0"/>
          <w:sz w:val="24"/>
        </w:rPr>
        <w:t>监理应对现场施工质量进行检查，对于施工测量结果进行复核，对施工单位检验批、隐蔽工程、分项、分部、单位工程及实体检测等质量报验表出具复核审查意见。监理现场检查记录应清晰，与施工实际情况相符。</w:t>
      </w:r>
    </w:p>
    <w:p w14:paraId="06BD252A">
      <w:pPr>
        <w:widowControl/>
        <w:spacing w:line="380" w:lineRule="exact"/>
        <w:ind w:firstLine="480" w:firstLineChars="200"/>
        <w:rPr>
          <w:rFonts w:hint="eastAsia" w:ascii="仿宋" w:hAnsi="仿宋" w:eastAsia="仿宋" w:cs="宋体"/>
          <w:kern w:val="0"/>
          <w:sz w:val="24"/>
        </w:rPr>
      </w:pPr>
      <w:r>
        <w:rPr>
          <w:rFonts w:hint="eastAsia" w:ascii="仿宋" w:hAnsi="仿宋" w:eastAsia="仿宋" w:cs="宋体"/>
          <w:kern w:val="0"/>
          <w:sz w:val="24"/>
        </w:rPr>
        <w:t>（六）</w:t>
      </w:r>
      <w:r>
        <w:rPr>
          <w:rFonts w:hint="eastAsia" w:ascii="仿宋" w:hAnsi="仿宋" w:eastAsia="仿宋" w:cs="宋体"/>
          <w:sz w:val="24"/>
        </w:rPr>
        <w:t>监理应根据相关规定、合同约定对关键工序、关键部位施工进行旁站，</w:t>
      </w:r>
      <w:r>
        <w:rPr>
          <w:rFonts w:hint="eastAsia" w:ascii="仿宋" w:hAnsi="仿宋" w:eastAsia="仿宋" w:cs="宋体"/>
          <w:kern w:val="0"/>
          <w:sz w:val="24"/>
        </w:rPr>
        <w:t>旁站记录应齐全完整。</w:t>
      </w:r>
    </w:p>
    <w:p w14:paraId="18019B49">
      <w:pPr>
        <w:widowControl/>
        <w:spacing w:line="380" w:lineRule="exact"/>
        <w:ind w:firstLine="480" w:firstLineChars="200"/>
        <w:rPr>
          <w:rFonts w:hint="eastAsia" w:ascii="仿宋" w:hAnsi="仿宋" w:eastAsia="仿宋" w:cs="宋体"/>
          <w:kern w:val="0"/>
          <w:sz w:val="24"/>
        </w:rPr>
      </w:pPr>
      <w:r>
        <w:rPr>
          <w:rFonts w:hint="eastAsia" w:ascii="仿宋" w:hAnsi="仿宋" w:eastAsia="仿宋" w:cs="宋体"/>
          <w:kern w:val="0"/>
          <w:sz w:val="24"/>
        </w:rPr>
        <w:t>（七）总监理工程师应组织单位工程竣工预验收，对于存在的问题督促施工单位整改合格后，方可编写监理质量评估报告。</w:t>
      </w:r>
    </w:p>
    <w:p w14:paraId="3B7269A2">
      <w:pPr>
        <w:widowControl/>
        <w:spacing w:line="380" w:lineRule="exact"/>
        <w:ind w:firstLine="480" w:firstLineChars="200"/>
        <w:rPr>
          <w:rFonts w:hint="eastAsia" w:ascii="仿宋" w:hAnsi="仿宋" w:eastAsia="仿宋" w:cs="宋体"/>
          <w:kern w:val="0"/>
          <w:sz w:val="24"/>
        </w:rPr>
      </w:pPr>
      <w:r>
        <w:rPr>
          <w:rFonts w:hint="eastAsia" w:ascii="仿宋" w:hAnsi="仿宋" w:eastAsia="仿宋" w:cs="宋体"/>
          <w:kern w:val="0"/>
          <w:sz w:val="24"/>
        </w:rPr>
        <w:t>（八）对项目竣工验收中所提出的整改意见，监理应当认真督促相关单位，做好整改工作。</w:t>
      </w:r>
    </w:p>
    <w:p w14:paraId="6A4D1950">
      <w:pPr>
        <w:widowControl/>
        <w:spacing w:line="380" w:lineRule="exact"/>
        <w:ind w:firstLine="480" w:firstLineChars="200"/>
        <w:rPr>
          <w:rFonts w:hint="eastAsia" w:ascii="仿宋" w:hAnsi="仿宋" w:eastAsia="仿宋" w:cs="宋体"/>
          <w:kern w:val="0"/>
          <w:sz w:val="24"/>
        </w:rPr>
      </w:pPr>
      <w:r>
        <w:rPr>
          <w:rFonts w:hint="eastAsia" w:ascii="仿宋" w:hAnsi="仿宋" w:eastAsia="仿宋" w:cs="宋体"/>
          <w:kern w:val="0"/>
          <w:sz w:val="24"/>
        </w:rPr>
        <w:t>（九）现场质量违规行为管理</w:t>
      </w:r>
    </w:p>
    <w:p w14:paraId="17D13EAF">
      <w:pPr>
        <w:widowControl/>
        <w:spacing w:line="380" w:lineRule="exact"/>
        <w:ind w:firstLine="720" w:firstLineChars="300"/>
        <w:rPr>
          <w:rFonts w:hint="eastAsia" w:ascii="仿宋" w:hAnsi="仿宋" w:eastAsia="仿宋" w:cs="宋体"/>
          <w:kern w:val="0"/>
          <w:sz w:val="24"/>
        </w:rPr>
      </w:pPr>
      <w:r>
        <w:rPr>
          <w:rFonts w:hint="eastAsia" w:ascii="仿宋" w:hAnsi="仿宋" w:eastAsia="仿宋" w:cs="宋体"/>
          <w:kern w:val="0"/>
          <w:sz w:val="24"/>
        </w:rPr>
        <w:t>监理对现场质量隐患、违规行为应及时发出监理工程师通知单或工程暂停令，并督促相关单位按时整改回复。</w:t>
      </w:r>
    </w:p>
    <w:p w14:paraId="160F3015">
      <w:pPr>
        <w:pStyle w:val="7"/>
        <w:widowControl/>
        <w:spacing w:beforeAutospacing="0" w:afterAutospacing="0" w:line="380" w:lineRule="exact"/>
        <w:ind w:firstLine="480" w:firstLineChars="200"/>
        <w:rPr>
          <w:rFonts w:hint="eastAsia" w:ascii="仿宋" w:hAnsi="仿宋" w:eastAsia="仿宋" w:cs="宋体"/>
        </w:rPr>
      </w:pPr>
      <w:r>
        <w:rPr>
          <w:rFonts w:hint="eastAsia" w:ascii="仿宋" w:hAnsi="仿宋" w:eastAsia="仿宋" w:cs="宋体"/>
        </w:rPr>
        <w:t>（十）监理不得与建设单位或者施工单位串通,弄虚作假、降低工程质量或将不合格的工程按照合格工程验收。</w:t>
      </w:r>
    </w:p>
    <w:p w14:paraId="710DDD75">
      <w:pPr>
        <w:widowControl/>
        <w:spacing w:line="380" w:lineRule="exact"/>
        <w:ind w:firstLine="482" w:firstLineChars="200"/>
        <w:rPr>
          <w:rFonts w:hint="eastAsia" w:ascii="仿宋" w:hAnsi="仿宋" w:eastAsia="仿宋" w:cs="宋体"/>
          <w:b/>
          <w:bCs/>
          <w:kern w:val="0"/>
          <w:sz w:val="24"/>
        </w:rPr>
      </w:pPr>
      <w:r>
        <w:rPr>
          <w:rFonts w:hint="eastAsia" w:ascii="仿宋" w:hAnsi="仿宋" w:eastAsia="仿宋" w:cs="宋体"/>
          <w:b/>
          <w:bCs/>
          <w:kern w:val="0"/>
          <w:sz w:val="24"/>
        </w:rPr>
        <w:t>第十六条  工程造价控制</w:t>
      </w:r>
    </w:p>
    <w:p w14:paraId="159B953A">
      <w:pPr>
        <w:widowControl/>
        <w:spacing w:line="380" w:lineRule="exact"/>
        <w:ind w:firstLine="720" w:firstLineChars="300"/>
        <w:rPr>
          <w:rFonts w:hint="eastAsia" w:ascii="仿宋" w:hAnsi="仿宋" w:eastAsia="仿宋" w:cs="宋体"/>
          <w:kern w:val="0"/>
          <w:sz w:val="24"/>
        </w:rPr>
      </w:pPr>
      <w:r>
        <w:rPr>
          <w:rFonts w:hint="eastAsia" w:ascii="仿宋" w:hAnsi="仿宋" w:eastAsia="仿宋" w:cs="宋体"/>
          <w:kern w:val="0"/>
          <w:sz w:val="24"/>
        </w:rPr>
        <w:t>根据施工现场工程形象进度，监理应对施工单位申报的工程量报验表进行审核，严格执行工程变更管理程序，从核实申报工程量以及是否验收合格两个方面进行审核，签发工程款支付申请，按照委托监理合同约定参与工程竣工结算。</w:t>
      </w:r>
    </w:p>
    <w:p w14:paraId="7730DEF6">
      <w:pPr>
        <w:widowControl/>
        <w:spacing w:line="380" w:lineRule="exact"/>
        <w:ind w:firstLine="482" w:firstLineChars="200"/>
        <w:rPr>
          <w:rFonts w:hint="eastAsia" w:ascii="仿宋" w:hAnsi="仿宋" w:eastAsia="仿宋" w:cs="宋体"/>
          <w:b/>
          <w:bCs/>
          <w:kern w:val="0"/>
          <w:sz w:val="24"/>
        </w:rPr>
      </w:pPr>
      <w:r>
        <w:rPr>
          <w:rFonts w:hint="eastAsia" w:ascii="仿宋" w:hAnsi="仿宋" w:eastAsia="仿宋" w:cs="宋体"/>
          <w:b/>
          <w:bCs/>
          <w:kern w:val="0"/>
          <w:sz w:val="24"/>
        </w:rPr>
        <w:t>第十七条  工程进度控制</w:t>
      </w:r>
    </w:p>
    <w:p w14:paraId="667A549D">
      <w:pPr>
        <w:widowControl/>
        <w:spacing w:line="380" w:lineRule="exact"/>
        <w:ind w:firstLine="720" w:firstLineChars="300"/>
        <w:rPr>
          <w:rFonts w:hint="eastAsia" w:ascii="仿宋" w:hAnsi="仿宋" w:eastAsia="仿宋" w:cs="宋体"/>
          <w:kern w:val="0"/>
          <w:sz w:val="24"/>
        </w:rPr>
      </w:pPr>
      <w:r>
        <w:rPr>
          <w:rFonts w:hint="eastAsia" w:ascii="仿宋" w:hAnsi="仿宋" w:eastAsia="仿宋" w:cs="宋体"/>
          <w:kern w:val="0"/>
          <w:sz w:val="24"/>
        </w:rPr>
        <w:t>监理审核施工单位编制的工程进度计划，应提出明确的审核意见。发现进度滞后，应及时采取措施要求施工单位调整进度计划或加大施工资源投入，并提出合理化建议。</w:t>
      </w:r>
    </w:p>
    <w:p w14:paraId="1B13AF1C">
      <w:pPr>
        <w:widowControl/>
        <w:spacing w:line="380" w:lineRule="exact"/>
        <w:ind w:firstLine="482" w:firstLineChars="200"/>
        <w:rPr>
          <w:rFonts w:hint="eastAsia" w:ascii="仿宋" w:hAnsi="仿宋" w:eastAsia="仿宋" w:cs="宋体"/>
          <w:b/>
          <w:bCs/>
          <w:kern w:val="0"/>
          <w:sz w:val="24"/>
        </w:rPr>
      </w:pPr>
      <w:r>
        <w:rPr>
          <w:rFonts w:hint="eastAsia" w:ascii="仿宋" w:hAnsi="仿宋" w:eastAsia="仿宋" w:cs="宋体"/>
          <w:b/>
          <w:bCs/>
          <w:kern w:val="0"/>
          <w:sz w:val="24"/>
        </w:rPr>
        <w:t>第十八条  安全文明施工管理的监理工作</w:t>
      </w:r>
    </w:p>
    <w:p w14:paraId="2E931639">
      <w:pPr>
        <w:widowControl/>
        <w:numPr>
          <w:ilvl w:val="0"/>
          <w:numId w:val="3"/>
        </w:numPr>
        <w:spacing w:line="380" w:lineRule="exact"/>
        <w:ind w:firstLine="660" w:firstLineChars="300"/>
        <w:rPr>
          <w:rFonts w:hint="eastAsia" w:ascii="仿宋" w:hAnsi="仿宋" w:eastAsia="仿宋" w:cs="宋体"/>
          <w:spacing w:val="-10"/>
          <w:kern w:val="0"/>
          <w:sz w:val="24"/>
        </w:rPr>
      </w:pPr>
      <w:r>
        <w:rPr>
          <w:rFonts w:hint="eastAsia" w:ascii="仿宋" w:hAnsi="仿宋" w:eastAsia="仿宋" w:cs="宋体"/>
          <w:spacing w:val="-10"/>
          <w:kern w:val="0"/>
          <w:sz w:val="24"/>
        </w:rPr>
        <w:t>认真履行合同义务与法定职责</w:t>
      </w:r>
    </w:p>
    <w:p w14:paraId="41A84E69">
      <w:pPr>
        <w:widowControl/>
        <w:spacing w:line="380" w:lineRule="exact"/>
        <w:ind w:left="630" w:leftChars="300" w:firstLine="220" w:firstLineChars="100"/>
        <w:rPr>
          <w:rFonts w:hint="eastAsia" w:ascii="仿宋" w:hAnsi="仿宋" w:eastAsia="仿宋" w:cs="宋体"/>
          <w:spacing w:val="-10"/>
          <w:kern w:val="0"/>
          <w:sz w:val="24"/>
        </w:rPr>
      </w:pPr>
      <w:r>
        <w:rPr>
          <w:rFonts w:hint="eastAsia" w:ascii="仿宋" w:hAnsi="仿宋" w:eastAsia="仿宋" w:cs="宋体"/>
          <w:spacing w:val="-10"/>
          <w:kern w:val="0"/>
          <w:sz w:val="24"/>
        </w:rPr>
        <w:t>监理应按委托监理合同约定及相关法律法规规定开展现场安全文明施工管理，</w:t>
      </w:r>
    </w:p>
    <w:p w14:paraId="29D36E2B">
      <w:pPr>
        <w:widowControl/>
        <w:spacing w:line="380" w:lineRule="exact"/>
        <w:rPr>
          <w:rFonts w:hint="eastAsia" w:ascii="仿宋" w:hAnsi="仿宋" w:eastAsia="仿宋" w:cs="宋体"/>
          <w:spacing w:val="-10"/>
          <w:kern w:val="0"/>
          <w:sz w:val="24"/>
        </w:rPr>
      </w:pPr>
      <w:r>
        <w:rPr>
          <w:rFonts w:hint="eastAsia" w:ascii="仿宋" w:hAnsi="仿宋" w:eastAsia="仿宋" w:cs="宋体"/>
          <w:spacing w:val="-10"/>
          <w:kern w:val="0"/>
          <w:sz w:val="24"/>
        </w:rPr>
        <w:t>履行合同义务及安全生产法定职责。</w:t>
      </w:r>
    </w:p>
    <w:p w14:paraId="1BAADA6A">
      <w:pPr>
        <w:widowControl/>
        <w:spacing w:line="380" w:lineRule="exact"/>
        <w:ind w:firstLine="660" w:firstLineChars="300"/>
        <w:rPr>
          <w:rFonts w:hint="eastAsia" w:ascii="仿宋" w:hAnsi="仿宋" w:eastAsia="仿宋" w:cs="宋体"/>
          <w:kern w:val="0"/>
          <w:sz w:val="24"/>
        </w:rPr>
      </w:pPr>
      <w:r>
        <w:rPr>
          <w:rFonts w:hint="eastAsia" w:ascii="仿宋" w:hAnsi="仿宋" w:eastAsia="仿宋" w:cs="宋体"/>
          <w:spacing w:val="-10"/>
          <w:kern w:val="0"/>
          <w:sz w:val="24"/>
        </w:rPr>
        <w:t>（二）危大工程</w:t>
      </w:r>
      <w:r>
        <w:rPr>
          <w:rFonts w:hint="eastAsia" w:ascii="仿宋" w:hAnsi="仿宋" w:eastAsia="仿宋" w:cs="宋体"/>
          <w:kern w:val="0"/>
          <w:sz w:val="24"/>
        </w:rPr>
        <w:t>开工前，监理应确认施工单位识别的危险性较大的分部分项工程清单，审核专项施工方案，参加超危工程专项施工方案的专家论证与施工条件验收。危大工程施工过程中进行巡视并做好巡视记录，并建立完整的危大工程监理档案。</w:t>
      </w:r>
    </w:p>
    <w:p w14:paraId="7F2D8FDE">
      <w:pPr>
        <w:widowControl/>
        <w:spacing w:line="380" w:lineRule="exact"/>
        <w:ind w:left="630" w:leftChars="300"/>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（三）安全文明施工措施费核查监理应根据施工合同约定，核查安全文明</w:t>
      </w:r>
    </w:p>
    <w:p w14:paraId="59C36130">
      <w:pPr>
        <w:widowControl/>
        <w:spacing w:line="380" w:lineRule="exact"/>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措施费用执行情况，并将核查结果报告建设单位。</w:t>
      </w:r>
    </w:p>
    <w:p w14:paraId="36A11BD3">
      <w:pPr>
        <w:widowControl/>
        <w:spacing w:line="380" w:lineRule="exact"/>
        <w:ind w:firstLine="720" w:firstLineChars="300"/>
        <w:rPr>
          <w:rFonts w:hint="eastAsia" w:ascii="仿宋" w:hAnsi="仿宋" w:eastAsia="仿宋" w:cs="宋体"/>
          <w:kern w:val="0"/>
          <w:sz w:val="24"/>
        </w:rPr>
      </w:pPr>
      <w:r>
        <w:rPr>
          <w:rFonts w:hint="eastAsia" w:ascii="仿宋" w:hAnsi="仿宋" w:eastAsia="仿宋" w:cs="宋体"/>
          <w:kern w:val="0"/>
          <w:sz w:val="24"/>
        </w:rPr>
        <w:t>（四）现场安全违规行为管理</w:t>
      </w:r>
    </w:p>
    <w:p w14:paraId="02B0D286">
      <w:pPr>
        <w:widowControl/>
        <w:spacing w:line="380" w:lineRule="exact"/>
        <w:ind w:firstLine="720" w:firstLineChars="300"/>
        <w:rPr>
          <w:rFonts w:hint="eastAsia" w:ascii="仿宋" w:hAnsi="仿宋" w:eastAsia="仿宋" w:cs="宋体"/>
          <w:kern w:val="0"/>
          <w:sz w:val="24"/>
        </w:rPr>
      </w:pPr>
      <w:r>
        <w:rPr>
          <w:rFonts w:hint="eastAsia" w:ascii="仿宋" w:hAnsi="仿宋" w:eastAsia="仿宋" w:cs="宋体"/>
          <w:kern w:val="0"/>
          <w:sz w:val="24"/>
        </w:rPr>
        <w:t>监理巡视检查发现施工现场存在安全隐患与违规行为，应及时发出监理工程师通知单或暂停令，并督促施工单位及时整改回复。</w:t>
      </w:r>
    </w:p>
    <w:p w14:paraId="2ED54153">
      <w:pPr>
        <w:widowControl/>
        <w:spacing w:line="380" w:lineRule="exact"/>
        <w:ind w:firstLine="482" w:firstLineChars="200"/>
        <w:rPr>
          <w:rFonts w:hint="eastAsia" w:ascii="仿宋" w:hAnsi="仿宋" w:eastAsia="仿宋" w:cs="宋体"/>
          <w:kern w:val="0"/>
          <w:sz w:val="24"/>
        </w:rPr>
      </w:pPr>
      <w:r>
        <w:rPr>
          <w:rFonts w:hint="eastAsia" w:ascii="仿宋" w:hAnsi="仿宋" w:eastAsia="仿宋" w:cs="宋体"/>
          <w:b/>
          <w:bCs/>
          <w:kern w:val="0"/>
          <w:sz w:val="24"/>
        </w:rPr>
        <w:t xml:space="preserve">第十九条  </w:t>
      </w:r>
      <w:r>
        <w:rPr>
          <w:rFonts w:hint="eastAsia" w:ascii="仿宋" w:hAnsi="仿宋" w:eastAsia="仿宋" w:cs="宋体"/>
          <w:kern w:val="0"/>
          <w:sz w:val="24"/>
        </w:rPr>
        <w:t>监理日记主要记录监理自身工作情况，应有总监或其授权人的签阅审核，并对于质量、安全、进度、造价等方面存在问题的有处理情况说明。</w:t>
      </w:r>
    </w:p>
    <w:p w14:paraId="0FA1EC6F">
      <w:pPr>
        <w:widowControl/>
        <w:spacing w:line="380" w:lineRule="exact"/>
        <w:ind w:firstLine="482" w:firstLineChars="200"/>
        <w:rPr>
          <w:rFonts w:hint="eastAsia" w:ascii="仿宋" w:hAnsi="仿宋" w:eastAsia="仿宋" w:cs="宋体"/>
          <w:b/>
          <w:bCs/>
          <w:kern w:val="0"/>
          <w:sz w:val="24"/>
        </w:rPr>
      </w:pPr>
      <w:r>
        <w:rPr>
          <w:rFonts w:hint="eastAsia" w:ascii="仿宋" w:hAnsi="仿宋" w:eastAsia="仿宋" w:cs="宋体"/>
          <w:b/>
          <w:bCs/>
          <w:kern w:val="0"/>
          <w:sz w:val="24"/>
        </w:rPr>
        <w:t>第二十条  监理报告制度执行</w:t>
      </w:r>
    </w:p>
    <w:p w14:paraId="58D11331">
      <w:pPr>
        <w:widowControl/>
        <w:spacing w:line="380" w:lineRule="exact"/>
        <w:ind w:firstLine="480" w:firstLineChars="200"/>
        <w:rPr>
          <w:rFonts w:hint="eastAsia" w:ascii="仿宋" w:hAnsi="仿宋" w:eastAsia="仿宋" w:cs="宋体"/>
          <w:kern w:val="0"/>
          <w:sz w:val="24"/>
        </w:rPr>
      </w:pPr>
      <w:r>
        <w:rPr>
          <w:rFonts w:hint="eastAsia" w:ascii="仿宋" w:hAnsi="仿宋" w:eastAsia="仿宋" w:cs="宋体"/>
          <w:kern w:val="0"/>
          <w:sz w:val="24"/>
        </w:rPr>
        <w:t>（一）监理应按合同及监理规范要求及时向建设单位提交监理月报，同时根据本市建设行政主管部门要求实施网上报告。</w:t>
      </w:r>
    </w:p>
    <w:p w14:paraId="48BFA046">
      <w:pPr>
        <w:widowControl/>
        <w:spacing w:line="380" w:lineRule="exact"/>
        <w:ind w:firstLine="480" w:firstLineChars="200"/>
        <w:rPr>
          <w:rFonts w:hint="eastAsia" w:ascii="仿宋" w:hAnsi="仿宋" w:eastAsia="仿宋" w:cs="宋体"/>
          <w:kern w:val="0"/>
          <w:sz w:val="24"/>
        </w:rPr>
      </w:pPr>
      <w:r>
        <w:rPr>
          <w:rFonts w:hint="eastAsia" w:ascii="仿宋" w:hAnsi="仿宋" w:eastAsia="仿宋" w:cs="宋体"/>
          <w:kern w:val="0"/>
          <w:sz w:val="24"/>
        </w:rPr>
        <w:t>（二）监理发现现场施工作业不符合强制性规范、施工组织设计文件、专项施工方案或者合同约定的要求，应及时要求施工单位整改，施工单位拒不改正的，应当及时报告建设单位。</w:t>
      </w:r>
    </w:p>
    <w:p w14:paraId="5F49D9E6">
      <w:pPr>
        <w:widowControl/>
        <w:spacing w:line="380" w:lineRule="exact"/>
        <w:ind w:firstLine="480" w:firstLineChars="200"/>
        <w:rPr>
          <w:rFonts w:hint="eastAsia" w:ascii="仿宋" w:hAnsi="仿宋" w:eastAsia="仿宋" w:cs="宋体"/>
          <w:kern w:val="0"/>
          <w:sz w:val="24"/>
        </w:rPr>
      </w:pPr>
      <w:r>
        <w:rPr>
          <w:rFonts w:hint="eastAsia" w:ascii="仿宋" w:hAnsi="仿宋" w:eastAsia="仿宋" w:cs="宋体"/>
          <w:kern w:val="0"/>
          <w:sz w:val="24"/>
        </w:rPr>
        <w:t>（三）监理发现质量和安全事故隐患，应当立即要求施工单位改正，情况严重的，应当要求暂停施工并报告建设单位。施工单位拒不改正或者不停止施工，可能产生安全质量事故的情况，应立即向本市有关建设行政管理部门上报。</w:t>
      </w:r>
    </w:p>
    <w:p w14:paraId="31EB47FB">
      <w:pPr>
        <w:widowControl/>
        <w:spacing w:line="380" w:lineRule="exact"/>
        <w:ind w:firstLine="482" w:firstLineChars="200"/>
        <w:rPr>
          <w:rFonts w:hint="eastAsia" w:ascii="仿宋" w:hAnsi="仿宋" w:eastAsia="仿宋" w:cs="宋体"/>
          <w:b/>
          <w:bCs/>
          <w:kern w:val="0"/>
          <w:sz w:val="24"/>
        </w:rPr>
      </w:pPr>
      <w:r>
        <w:rPr>
          <w:rFonts w:hint="eastAsia" w:ascii="仿宋" w:hAnsi="仿宋" w:eastAsia="仿宋" w:cs="宋体"/>
          <w:b/>
          <w:bCs/>
          <w:kern w:val="0"/>
          <w:sz w:val="24"/>
        </w:rPr>
        <w:t>第二十一条 信息资料管理</w:t>
      </w:r>
    </w:p>
    <w:p w14:paraId="12D0BB23">
      <w:pPr>
        <w:widowControl/>
        <w:spacing w:line="380" w:lineRule="exact"/>
        <w:ind w:firstLine="480" w:firstLineChars="200"/>
        <w:rPr>
          <w:rFonts w:hint="eastAsia" w:ascii="仿宋" w:hAnsi="仿宋" w:eastAsia="仿宋" w:cs="宋体"/>
          <w:kern w:val="0"/>
          <w:sz w:val="24"/>
        </w:rPr>
      </w:pPr>
      <w:r>
        <w:rPr>
          <w:rFonts w:hint="eastAsia" w:ascii="仿宋" w:hAnsi="仿宋" w:eastAsia="仿宋" w:cs="宋体"/>
          <w:kern w:val="0"/>
          <w:sz w:val="24"/>
        </w:rPr>
        <w:t>（一）监理应及时收集、整理、分类汇总监理文件资料，并应按规定组卷，形成监理档案信息资料。</w:t>
      </w:r>
    </w:p>
    <w:p w14:paraId="44EF107F">
      <w:pPr>
        <w:widowControl/>
        <w:spacing w:line="380" w:lineRule="exact"/>
        <w:ind w:firstLine="480" w:firstLineChars="200"/>
        <w:rPr>
          <w:rFonts w:hint="eastAsia" w:ascii="仿宋" w:hAnsi="仿宋" w:eastAsia="仿宋" w:cs="宋体"/>
          <w:kern w:val="0"/>
          <w:sz w:val="24"/>
        </w:rPr>
      </w:pPr>
      <w:r>
        <w:rPr>
          <w:rFonts w:hint="eastAsia" w:ascii="仿宋" w:hAnsi="仿宋" w:eastAsia="仿宋" w:cs="宋体"/>
          <w:kern w:val="0"/>
          <w:sz w:val="24"/>
        </w:rPr>
        <w:t>（二）监理应按工程档案管理规范和本市城建档案馆要求做好监理资料归档及移交工作。</w:t>
      </w:r>
    </w:p>
    <w:p w14:paraId="2220611D">
      <w:pPr>
        <w:widowControl/>
        <w:spacing w:line="380" w:lineRule="exact"/>
        <w:ind w:firstLine="482" w:firstLineChars="200"/>
        <w:rPr>
          <w:rFonts w:hint="eastAsia" w:ascii="仿宋" w:hAnsi="仿宋" w:eastAsia="仿宋" w:cs="宋体"/>
          <w:b/>
          <w:bCs/>
          <w:kern w:val="0"/>
          <w:sz w:val="24"/>
        </w:rPr>
      </w:pPr>
      <w:r>
        <w:rPr>
          <w:rFonts w:hint="eastAsia" w:ascii="仿宋" w:hAnsi="仿宋" w:eastAsia="仿宋" w:cs="宋体"/>
          <w:b/>
          <w:bCs/>
          <w:kern w:val="0"/>
          <w:sz w:val="24"/>
        </w:rPr>
        <w:t>第二十二条  质量、安全事故管理</w:t>
      </w:r>
    </w:p>
    <w:p w14:paraId="54970C79">
      <w:pPr>
        <w:widowControl/>
        <w:spacing w:line="380" w:lineRule="exact"/>
        <w:ind w:firstLine="480" w:firstLineChars="200"/>
        <w:rPr>
          <w:rFonts w:hint="eastAsia" w:ascii="仿宋" w:hAnsi="仿宋" w:eastAsia="仿宋" w:cs="宋体"/>
          <w:sz w:val="24"/>
        </w:rPr>
      </w:pPr>
      <w:r>
        <w:rPr>
          <w:rFonts w:hint="eastAsia" w:ascii="仿宋" w:hAnsi="仿宋" w:eastAsia="仿宋" w:cs="宋体"/>
          <w:sz w:val="24"/>
        </w:rPr>
        <w:t>（一）发生工程质量事故后，总监理工程师应签发工程暂停令，防止事故扩大并保护好现场，要求事故单位及时按事故类别向建设单位和主管部门报告，并积极配合质量事故调查，客观提供相应证据。</w:t>
      </w:r>
    </w:p>
    <w:p w14:paraId="0F45D470">
      <w:pPr>
        <w:pStyle w:val="7"/>
        <w:widowControl/>
        <w:spacing w:beforeAutospacing="0" w:afterAutospacing="0" w:line="380" w:lineRule="exact"/>
        <w:ind w:firstLine="480" w:firstLineChars="200"/>
        <w:rPr>
          <w:rFonts w:hint="eastAsia" w:ascii="仿宋" w:hAnsi="仿宋" w:eastAsia="仿宋" w:cs="宋体"/>
        </w:rPr>
      </w:pPr>
      <w:r>
        <w:rPr>
          <w:rFonts w:hint="eastAsia" w:ascii="仿宋" w:hAnsi="仿宋" w:eastAsia="仿宋" w:cs="宋体"/>
        </w:rPr>
        <w:t>（二）发生工程安全事故后，总监理工程师应签发工程暂停令，并向建设单位及监理单位报告，要求施工单位启动安全生产应急预案，防止事故扩大并保护好现场，同时要求施工单位按时按事故类别向主管部门报告，并积极配合安全事故调查，客观提供相应证据。</w:t>
      </w:r>
    </w:p>
    <w:p w14:paraId="6F966A9E">
      <w:pPr>
        <w:widowControl/>
        <w:spacing w:line="380" w:lineRule="exact"/>
        <w:ind w:firstLine="482" w:firstLineChars="200"/>
        <w:rPr>
          <w:rFonts w:hint="eastAsia" w:ascii="仿宋" w:hAnsi="仿宋" w:eastAsia="仿宋" w:cs="宋体"/>
          <w:kern w:val="0"/>
          <w:sz w:val="24"/>
        </w:rPr>
      </w:pPr>
      <w:r>
        <w:rPr>
          <w:rFonts w:hint="eastAsia" w:ascii="仿宋" w:hAnsi="仿宋" w:eastAsia="仿宋" w:cs="宋体"/>
          <w:b/>
          <w:bCs/>
          <w:kern w:val="0"/>
          <w:sz w:val="24"/>
        </w:rPr>
        <w:t>第二十三条</w:t>
      </w:r>
      <w:r>
        <w:rPr>
          <w:rFonts w:hint="eastAsia" w:ascii="仿宋" w:hAnsi="仿宋" w:eastAsia="仿宋" w:cs="宋体"/>
          <w:kern w:val="0"/>
          <w:sz w:val="24"/>
        </w:rPr>
        <w:t xml:space="preserve">  监理应按合同要求承担保修期间的监理服务，包括定期回访、工程质量缺陷原因调查并与建设单位、施工单位协商确定责任归属，监督修复实施，核实修复工程费用，签认工程款支付证书，同时报建设单位。</w:t>
      </w:r>
    </w:p>
    <w:p w14:paraId="21922AE8">
      <w:pPr>
        <w:widowControl/>
        <w:spacing w:line="380" w:lineRule="exact"/>
        <w:ind w:firstLine="480" w:firstLineChars="200"/>
        <w:rPr>
          <w:rFonts w:hint="eastAsia" w:ascii="仿宋" w:hAnsi="仿宋" w:eastAsia="仿宋" w:cs="宋体"/>
          <w:kern w:val="0"/>
          <w:sz w:val="24"/>
        </w:rPr>
      </w:pPr>
    </w:p>
    <w:p w14:paraId="402149D2">
      <w:pPr>
        <w:widowControl/>
        <w:numPr>
          <w:ilvl w:val="0"/>
          <w:numId w:val="1"/>
        </w:numPr>
        <w:spacing w:line="380" w:lineRule="exact"/>
        <w:ind w:firstLine="723" w:firstLineChars="300"/>
        <w:jc w:val="center"/>
        <w:rPr>
          <w:rFonts w:hint="eastAsia" w:ascii="仿宋" w:hAnsi="仿宋" w:eastAsia="仿宋" w:cs="宋体"/>
          <w:b/>
          <w:bCs/>
          <w:kern w:val="0"/>
          <w:sz w:val="24"/>
        </w:rPr>
      </w:pPr>
      <w:r>
        <w:rPr>
          <w:rFonts w:hint="eastAsia" w:ascii="仿宋" w:hAnsi="仿宋" w:eastAsia="仿宋" w:cs="宋体"/>
          <w:b/>
          <w:bCs/>
          <w:kern w:val="0"/>
          <w:sz w:val="24"/>
        </w:rPr>
        <w:t xml:space="preserve"> 监理人员</w:t>
      </w:r>
    </w:p>
    <w:p w14:paraId="74764B66">
      <w:pPr>
        <w:widowControl/>
        <w:spacing w:line="380" w:lineRule="exact"/>
        <w:ind w:firstLine="482" w:firstLineChars="200"/>
        <w:rPr>
          <w:rFonts w:hint="eastAsia" w:ascii="仿宋" w:hAnsi="仿宋" w:eastAsia="仿宋" w:cs="宋体"/>
          <w:b/>
          <w:bCs/>
          <w:kern w:val="0"/>
          <w:sz w:val="24"/>
        </w:rPr>
      </w:pPr>
      <w:r>
        <w:rPr>
          <w:rFonts w:hint="eastAsia" w:ascii="仿宋" w:hAnsi="仿宋" w:eastAsia="仿宋" w:cs="宋体"/>
          <w:b/>
          <w:bCs/>
          <w:kern w:val="0"/>
          <w:sz w:val="24"/>
        </w:rPr>
        <w:t>第二十四条  总监理工程师</w:t>
      </w:r>
    </w:p>
    <w:p w14:paraId="636DB925">
      <w:pPr>
        <w:pStyle w:val="7"/>
        <w:widowControl/>
        <w:numPr>
          <w:ilvl w:val="0"/>
          <w:numId w:val="4"/>
        </w:numPr>
        <w:spacing w:beforeAutospacing="0" w:afterAutospacing="0" w:line="380" w:lineRule="exact"/>
        <w:ind w:firstLine="720" w:firstLineChars="300"/>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项目监理机构实行总监理工程师负责制,总监理工程师代表监理单位组织履行监理合同，负责监理单位质量、安全、环境管理体系在本项目的实施，按管理体系文件或作业指导书组织项目监理机构开展监理工作。</w:t>
      </w:r>
    </w:p>
    <w:p w14:paraId="55B282EB">
      <w:pPr>
        <w:pStyle w:val="7"/>
        <w:widowControl/>
        <w:numPr>
          <w:ilvl w:val="0"/>
          <w:numId w:val="4"/>
        </w:numPr>
        <w:spacing w:beforeAutospacing="0" w:afterAutospacing="0" w:line="380" w:lineRule="exact"/>
        <w:ind w:firstLine="720" w:firstLineChars="300"/>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确定项目监理机构人员及其岗位职责，根据工程进展及监理工作需要调配监理人员，检查监理人员工作。</w:t>
      </w:r>
    </w:p>
    <w:p w14:paraId="2A4EBEC9">
      <w:pPr>
        <w:pStyle w:val="7"/>
        <w:widowControl/>
        <w:numPr>
          <w:ilvl w:val="0"/>
          <w:numId w:val="4"/>
        </w:numPr>
        <w:spacing w:beforeAutospacing="0" w:afterAutospacing="0" w:line="380" w:lineRule="exact"/>
        <w:ind w:firstLine="720" w:firstLineChars="300"/>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组织检查施工单位现场质量、安全生产管理体系的建立及运行情况。</w:t>
      </w:r>
    </w:p>
    <w:p w14:paraId="1461BFBB">
      <w:pPr>
        <w:widowControl/>
        <w:spacing w:line="380" w:lineRule="exact"/>
        <w:ind w:firstLine="720" w:firstLineChars="300"/>
        <w:rPr>
          <w:rFonts w:hint="eastAsia" w:ascii="仿宋" w:hAnsi="仿宋" w:eastAsia="仿宋" w:cs="宋体"/>
          <w:kern w:val="0"/>
          <w:sz w:val="24"/>
        </w:rPr>
      </w:pPr>
      <w:r>
        <w:rPr>
          <w:rFonts w:hint="eastAsia" w:ascii="仿宋" w:hAnsi="仿宋" w:eastAsia="仿宋" w:cs="宋体"/>
          <w:kern w:val="0"/>
          <w:sz w:val="24"/>
        </w:rPr>
        <w:t>（四）组织专业监理工程师编制监理规划，内容应有指导性与针对性，由监理单位技术负责人审批通过后作为监理工作的指导性文件。</w:t>
      </w:r>
    </w:p>
    <w:p w14:paraId="2E42C692">
      <w:pPr>
        <w:widowControl/>
        <w:spacing w:line="380" w:lineRule="exact"/>
        <w:ind w:firstLine="480" w:firstLineChars="200"/>
        <w:rPr>
          <w:rFonts w:hint="eastAsia" w:ascii="仿宋" w:hAnsi="仿宋" w:eastAsia="仿宋" w:cs="宋体"/>
          <w:kern w:val="0"/>
          <w:sz w:val="24"/>
        </w:rPr>
      </w:pPr>
      <w:r>
        <w:rPr>
          <w:rFonts w:hint="eastAsia" w:ascii="仿宋" w:hAnsi="仿宋" w:eastAsia="仿宋" w:cs="宋体"/>
          <w:color w:val="000000" w:themeColor="text1"/>
          <w:kern w:val="0"/>
          <w:sz w:val="24"/>
          <w14:textFill>
            <w14:solidFill>
              <w14:schemeClr w14:val="tx1"/>
            </w14:solidFill>
          </w14:textFill>
        </w:rPr>
        <w:t>（五）组织召开监理例会，</w:t>
      </w:r>
      <w:r>
        <w:rPr>
          <w:rFonts w:hint="eastAsia" w:ascii="仿宋" w:hAnsi="仿宋" w:eastAsia="仿宋" w:cs="宋体"/>
          <w:kern w:val="0"/>
          <w:sz w:val="24"/>
        </w:rPr>
        <w:t>会议纪要应完整，并对建设、监理单位提出的事项跟踪落实。</w:t>
      </w:r>
    </w:p>
    <w:p w14:paraId="0F9668F7">
      <w:pPr>
        <w:pStyle w:val="7"/>
        <w:widowControl/>
        <w:spacing w:beforeAutospacing="0" w:afterAutospacing="0" w:line="380" w:lineRule="exact"/>
        <w:ind w:firstLine="240" w:firstLineChars="100"/>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（六）组织审核分包单位资质、审查施工组织设计、（专项）施工方案。</w:t>
      </w:r>
    </w:p>
    <w:p w14:paraId="026D4556">
      <w:pPr>
        <w:pStyle w:val="7"/>
        <w:widowControl/>
        <w:spacing w:beforeAutospacing="0" w:afterAutospacing="0" w:line="380" w:lineRule="exact"/>
        <w:ind w:firstLine="240" w:firstLineChars="100"/>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（七）审查开复工报审表，签发工程开工令、暂停令和复工令。</w:t>
      </w:r>
    </w:p>
    <w:p w14:paraId="57B3DA35">
      <w:pPr>
        <w:pStyle w:val="7"/>
        <w:widowControl/>
        <w:spacing w:beforeAutospacing="0" w:afterAutospacing="0" w:line="380" w:lineRule="exact"/>
        <w:ind w:firstLine="240" w:firstLineChars="100"/>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（八）参与或配合工程质量安全事故的调查和处理。</w:t>
      </w:r>
    </w:p>
    <w:p w14:paraId="442AEDDB">
      <w:pPr>
        <w:pStyle w:val="7"/>
        <w:widowControl/>
        <w:spacing w:beforeAutospacing="0" w:afterAutospacing="0" w:line="380" w:lineRule="exact"/>
        <w:ind w:firstLine="240" w:firstLineChars="100"/>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（九）组织审查和处理工程变更，调解建设单位与施工单位的合同争议，处理工程索赔。</w:t>
      </w:r>
    </w:p>
    <w:p w14:paraId="4FD7B718">
      <w:pPr>
        <w:pStyle w:val="7"/>
        <w:widowControl/>
        <w:spacing w:beforeAutospacing="0" w:afterAutospacing="0" w:line="380" w:lineRule="exact"/>
        <w:ind w:firstLine="240" w:firstLineChars="100"/>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（十）组织审核施工单位的付款申请，签发工程款支付证书，组织审核竣工结算。</w:t>
      </w:r>
    </w:p>
    <w:p w14:paraId="4A71A18A">
      <w:pPr>
        <w:pStyle w:val="7"/>
        <w:widowControl/>
        <w:spacing w:beforeAutospacing="0" w:afterAutospacing="0" w:line="380" w:lineRule="exact"/>
        <w:ind w:firstLine="240" w:firstLineChars="100"/>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（十一）组织编写监理月报、监理工作总结，组织整理监理文件资料。</w:t>
      </w:r>
    </w:p>
    <w:p w14:paraId="1D527793">
      <w:pPr>
        <w:pStyle w:val="7"/>
        <w:widowControl/>
        <w:spacing w:beforeAutospacing="0" w:afterAutospacing="0" w:line="380" w:lineRule="exact"/>
        <w:ind w:firstLine="240" w:firstLineChars="100"/>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（十二）组织分部工程验收、工程竣工预验收、审查单位工程质量检验资料，组织编写工程质量评估报告。</w:t>
      </w:r>
    </w:p>
    <w:p w14:paraId="25C11282">
      <w:pPr>
        <w:pStyle w:val="7"/>
        <w:widowControl/>
        <w:spacing w:beforeAutospacing="0" w:afterAutospacing="0" w:line="380" w:lineRule="exact"/>
        <w:ind w:firstLine="240" w:firstLineChars="100"/>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（十三）审查施工单位的竣工申请，参与工程竣工验收。</w:t>
      </w:r>
    </w:p>
    <w:p w14:paraId="3C5E380A">
      <w:pPr>
        <w:pStyle w:val="7"/>
        <w:widowControl/>
        <w:spacing w:beforeAutospacing="0" w:afterAutospacing="0" w:line="380" w:lineRule="exact"/>
        <w:ind w:firstLine="240" w:firstLineChars="100"/>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（十四）总监理工程师应遵守本市建设行政主管部门的实名制考勤管理规定。</w:t>
      </w:r>
    </w:p>
    <w:p w14:paraId="7712F416">
      <w:pPr>
        <w:widowControl/>
        <w:spacing w:line="380" w:lineRule="exact"/>
        <w:ind w:firstLine="482" w:firstLineChars="200"/>
        <w:rPr>
          <w:rFonts w:hint="eastAsia"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第二十五条  专业监理工程师</w:t>
      </w:r>
    </w:p>
    <w:p w14:paraId="2861FEE7">
      <w:pPr>
        <w:widowControl/>
        <w:spacing w:line="380" w:lineRule="exact"/>
        <w:ind w:firstLine="480" w:firstLineChars="200"/>
        <w:rPr>
          <w:rFonts w:hint="eastAsia" w:ascii="仿宋" w:hAnsi="仿宋" w:eastAsia="仿宋" w:cs="宋体"/>
          <w:kern w:val="0"/>
          <w:sz w:val="24"/>
        </w:rPr>
      </w:pPr>
      <w:r>
        <w:rPr>
          <w:rFonts w:hint="eastAsia" w:ascii="仿宋" w:hAnsi="仿宋" w:eastAsia="仿宋" w:cs="宋体"/>
          <w:color w:val="000000" w:themeColor="text1"/>
          <w:kern w:val="0"/>
          <w:sz w:val="24"/>
          <w14:textFill>
            <w14:solidFill>
              <w14:schemeClr w14:val="tx1"/>
            </w14:solidFill>
          </w14:textFill>
        </w:rPr>
        <w:t>（一）负责某一专业或某一方面监理工作的具体实施，参与编制监理规划，组织编制监理实施细则，</w:t>
      </w:r>
      <w:r>
        <w:rPr>
          <w:rFonts w:hint="eastAsia" w:ascii="仿宋" w:hAnsi="仿宋" w:eastAsia="仿宋" w:cs="宋体"/>
          <w:kern w:val="0"/>
          <w:sz w:val="24"/>
        </w:rPr>
        <w:t>对于危险性较大的分部分项工程，编制专项监理实施细则，</w:t>
      </w:r>
      <w:r>
        <w:rPr>
          <w:rFonts w:hint="eastAsia" w:ascii="仿宋" w:hAnsi="仿宋" w:eastAsia="仿宋" w:cs="宋体"/>
          <w:color w:val="000000" w:themeColor="text1"/>
          <w:kern w:val="0"/>
          <w:sz w:val="24"/>
          <w14:textFill>
            <w14:solidFill>
              <w14:schemeClr w14:val="tx1"/>
            </w14:solidFill>
          </w14:textFill>
        </w:rPr>
        <w:t>负责签发职责授权范围内的监理文件。</w:t>
      </w:r>
    </w:p>
    <w:p w14:paraId="290C65FE">
      <w:pPr>
        <w:widowControl/>
        <w:spacing w:line="380" w:lineRule="exact"/>
        <w:ind w:firstLine="480" w:firstLineChars="200"/>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（二）参与审核分包单位资质。</w:t>
      </w:r>
    </w:p>
    <w:p w14:paraId="5985C532">
      <w:pPr>
        <w:widowControl/>
        <w:spacing w:line="380" w:lineRule="exact"/>
        <w:ind w:firstLine="480" w:firstLineChars="200"/>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（三）组织、指导和监督检查本专业监理员工作。</w:t>
      </w:r>
    </w:p>
    <w:p w14:paraId="3A9AED33">
      <w:pPr>
        <w:widowControl/>
        <w:spacing w:line="380" w:lineRule="exact"/>
        <w:ind w:firstLine="480" w:firstLineChars="200"/>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（四）定期向总监理工程师报告本专业监理工作实施情况。</w:t>
      </w:r>
    </w:p>
    <w:p w14:paraId="2936A727">
      <w:pPr>
        <w:widowControl/>
        <w:spacing w:line="380" w:lineRule="exact"/>
        <w:ind w:firstLine="480" w:firstLineChars="200"/>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（五）控制专业工程建筑材料、构配件与设备的质量，进行检验批、隐蔽工程和分项工程质量验收，参与分部工程质量验收、工程竣工预验收和竣工验收。</w:t>
      </w:r>
    </w:p>
    <w:p w14:paraId="6928B446">
      <w:pPr>
        <w:widowControl/>
        <w:spacing w:line="380" w:lineRule="exact"/>
        <w:ind w:firstLine="480" w:firstLineChars="200"/>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（六）处置发现的工程质量问题和安全事故隐患。</w:t>
      </w:r>
    </w:p>
    <w:p w14:paraId="777E0E54">
      <w:pPr>
        <w:widowControl/>
        <w:spacing w:line="380" w:lineRule="exact"/>
        <w:ind w:firstLine="480" w:firstLineChars="200"/>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（七）负责做好项目监理日志、参与编写监理月报。</w:t>
      </w:r>
    </w:p>
    <w:p w14:paraId="2EA75714">
      <w:pPr>
        <w:widowControl/>
        <w:spacing w:line="380" w:lineRule="exact"/>
        <w:ind w:firstLine="480" w:firstLineChars="200"/>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（八）负责本专业工程计量。</w:t>
      </w:r>
    </w:p>
    <w:p w14:paraId="00A4C224">
      <w:pPr>
        <w:widowControl/>
        <w:spacing w:line="380" w:lineRule="exact"/>
        <w:ind w:firstLine="480" w:firstLineChars="200"/>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（九）参与工程变更的审查和处理。</w:t>
      </w:r>
    </w:p>
    <w:p w14:paraId="44FEEFAF">
      <w:pPr>
        <w:widowControl/>
        <w:spacing w:line="380" w:lineRule="exact"/>
        <w:ind w:firstLine="482" w:firstLineChars="200"/>
        <w:rPr>
          <w:rFonts w:hint="eastAsia"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第二十六条  监理员</w:t>
      </w:r>
    </w:p>
    <w:p w14:paraId="11116AD8">
      <w:pPr>
        <w:widowControl/>
        <w:spacing w:line="380" w:lineRule="exact"/>
        <w:ind w:firstLine="480" w:firstLineChars="200"/>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（一）配合专业监理工程师开展工作，并负责签认相关检查和验证记录。</w:t>
      </w:r>
    </w:p>
    <w:p w14:paraId="430E5F71">
      <w:pPr>
        <w:widowControl/>
        <w:spacing w:line="380" w:lineRule="exact"/>
        <w:ind w:firstLine="480" w:firstLineChars="200"/>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（二）检查施工单位投入项目的人力、主要设备的使用及运行状况。</w:t>
      </w:r>
    </w:p>
    <w:p w14:paraId="53123903">
      <w:pPr>
        <w:widowControl/>
        <w:spacing w:line="380" w:lineRule="exact"/>
        <w:ind w:firstLine="480" w:firstLineChars="200"/>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（三）复核工程计量有关数据。</w:t>
      </w:r>
    </w:p>
    <w:p w14:paraId="62A1615B">
      <w:pPr>
        <w:widowControl/>
        <w:spacing w:line="380" w:lineRule="exact"/>
        <w:ind w:firstLine="480" w:firstLineChars="200"/>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（四）检查工序施工情况，发现问题，及时指出并向专业监理工程师报告。</w:t>
      </w:r>
    </w:p>
    <w:p w14:paraId="4B6206EA">
      <w:pPr>
        <w:widowControl/>
        <w:spacing w:line="380" w:lineRule="exact"/>
        <w:ind w:firstLine="480" w:firstLineChars="200"/>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（五）依据监理旁站方案对关键工序、关键部位实施旁站管理工作。</w:t>
      </w:r>
    </w:p>
    <w:p w14:paraId="1EC82156">
      <w:pPr>
        <w:widowControl/>
        <w:spacing w:line="380" w:lineRule="exact"/>
        <w:ind w:firstLine="482" w:firstLineChars="200"/>
        <w:rPr>
          <w:rFonts w:hint="eastAsia"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第二十七条  见证员</w:t>
      </w:r>
    </w:p>
    <w:p w14:paraId="6734392C">
      <w:pPr>
        <w:widowControl/>
        <w:spacing w:line="380" w:lineRule="exact"/>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（一）取样时，见证人员应在现场进行见证。</w:t>
      </w:r>
    </w:p>
    <w:p w14:paraId="259A00B8">
      <w:pPr>
        <w:widowControl/>
        <w:spacing w:line="380" w:lineRule="exact"/>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（二）见证人员和施工单位取样员应一起将试样送至检测单位。</w:t>
      </w:r>
    </w:p>
    <w:p w14:paraId="3DCD12DB">
      <w:pPr>
        <w:widowControl/>
        <w:spacing w:line="380" w:lineRule="exact"/>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（三）见证员应在检验委托单上签字，并按规定进行封样、设置唯一性标签。</w:t>
      </w:r>
    </w:p>
    <w:p w14:paraId="29CAD950">
      <w:pPr>
        <w:widowControl/>
        <w:spacing w:line="380" w:lineRule="exact"/>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（四）见证员对试样的代表性和真实性负有法定责任。</w:t>
      </w:r>
    </w:p>
    <w:p w14:paraId="7F84D82D">
      <w:pPr>
        <w:widowControl/>
        <w:spacing w:line="380" w:lineRule="exact"/>
        <w:ind w:firstLine="482" w:firstLineChars="200"/>
        <w:rPr>
          <w:rFonts w:hint="eastAsia"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第二十八条 资料员</w:t>
      </w:r>
    </w:p>
    <w:p w14:paraId="5D056095">
      <w:pPr>
        <w:widowControl/>
        <w:spacing w:line="380" w:lineRule="exact"/>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（一）收集管理监理过程中，与建设、设计等有关单位进行信息传递、会议等监理活动所形成的往来函件、会议纪要、文件通知等。</w:t>
      </w:r>
    </w:p>
    <w:p w14:paraId="4792015E">
      <w:pPr>
        <w:widowControl/>
        <w:spacing w:line="380" w:lineRule="exact"/>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（二）收集、管理所监理工程的有关图纸、文件、资料、照片等监理工作资料。</w:t>
      </w:r>
    </w:p>
    <w:p w14:paraId="6A0F50AF">
      <w:pPr>
        <w:widowControl/>
        <w:spacing w:line="380" w:lineRule="exact"/>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（三）收发往来文件，登记收发记录，做好平时立卷工作。</w:t>
      </w:r>
    </w:p>
    <w:p w14:paraId="13EAB3FE">
      <w:pPr>
        <w:widowControl/>
        <w:spacing w:line="380" w:lineRule="exact"/>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（四）归纳、整理资料，按照工程建设监理规程中有关规定，分类、编号、立卷、归档。</w:t>
      </w:r>
    </w:p>
    <w:p w14:paraId="06283A47">
      <w:pPr>
        <w:pStyle w:val="7"/>
        <w:widowControl/>
        <w:spacing w:beforeAutospacing="0" w:afterAutospacing="0" w:line="380" w:lineRule="exact"/>
        <w:jc w:val="center"/>
        <w:rPr>
          <w:rFonts w:hint="eastAsia" w:ascii="仿宋" w:hAnsi="仿宋" w:eastAsia="仿宋"/>
          <w:color w:val="000000" w:themeColor="text1"/>
          <w14:textFill>
            <w14:solidFill>
              <w14:schemeClr w14:val="tx1"/>
            </w14:solidFill>
          </w14:textFill>
        </w:rPr>
      </w:pPr>
      <w:r>
        <w:rPr>
          <w:rStyle w:val="10"/>
          <w:rFonts w:ascii="仿宋" w:hAnsi="仿宋" w:eastAsia="仿宋"/>
          <w:color w:val="000000" w:themeColor="text1"/>
          <w14:textFill>
            <w14:solidFill>
              <w14:schemeClr w14:val="tx1"/>
            </w14:solidFill>
          </w14:textFill>
        </w:rPr>
        <w:t>第五章</w:t>
      </w:r>
      <w:r>
        <w:rPr>
          <w:rStyle w:val="10"/>
          <w:rFonts w:hint="eastAsia" w:ascii="仿宋" w:hAnsi="仿宋" w:eastAsia="仿宋"/>
          <w:color w:val="000000" w:themeColor="text1"/>
          <w14:textFill>
            <w14:solidFill>
              <w14:schemeClr w14:val="tx1"/>
            </w14:solidFill>
          </w14:textFill>
        </w:rPr>
        <w:t xml:space="preserve">  </w:t>
      </w:r>
      <w:r>
        <w:rPr>
          <w:rStyle w:val="10"/>
          <w:rFonts w:ascii="仿宋" w:hAnsi="仿宋" w:eastAsia="仿宋"/>
          <w:color w:val="000000" w:themeColor="text1"/>
          <w14:textFill>
            <w14:solidFill>
              <w14:schemeClr w14:val="tx1"/>
            </w14:solidFill>
          </w14:textFill>
        </w:rPr>
        <w:t>其</w:t>
      </w:r>
      <w:r>
        <w:rPr>
          <w:rStyle w:val="10"/>
          <w:rFonts w:hint="eastAsia" w:ascii="仿宋" w:hAnsi="仿宋" w:eastAsia="仿宋"/>
          <w:color w:val="000000" w:themeColor="text1"/>
          <w14:textFill>
            <w14:solidFill>
              <w14:schemeClr w14:val="tx1"/>
            </w14:solidFill>
          </w14:textFill>
        </w:rPr>
        <w:t xml:space="preserve">  </w:t>
      </w:r>
      <w:r>
        <w:rPr>
          <w:rStyle w:val="10"/>
          <w:rFonts w:ascii="仿宋" w:hAnsi="仿宋" w:eastAsia="仿宋"/>
          <w:color w:val="000000" w:themeColor="text1"/>
          <w14:textFill>
            <w14:solidFill>
              <w14:schemeClr w14:val="tx1"/>
            </w14:solidFill>
          </w14:textFill>
        </w:rPr>
        <w:t>他</w:t>
      </w:r>
    </w:p>
    <w:p w14:paraId="581D227A">
      <w:pPr>
        <w:pStyle w:val="7"/>
        <w:widowControl/>
        <w:spacing w:beforeAutospacing="0" w:afterAutospacing="0" w:line="380" w:lineRule="exact"/>
        <w:ind w:firstLine="472" w:firstLineChars="196"/>
        <w:rPr>
          <w:rFonts w:hint="eastAsia" w:ascii="仿宋" w:hAnsi="仿宋" w:eastAsia="仿宋"/>
          <w:color w:val="000000" w:themeColor="text1"/>
          <w14:textFill>
            <w14:solidFill>
              <w14:schemeClr w14:val="tx1"/>
            </w14:solidFill>
          </w14:textFill>
        </w:rPr>
      </w:pPr>
      <w:r>
        <w:rPr>
          <w:rFonts w:ascii="仿宋" w:hAnsi="仿宋" w:eastAsia="仿宋"/>
          <w:b/>
          <w:bCs/>
          <w:color w:val="000000" w:themeColor="text1"/>
          <w14:textFill>
            <w14:solidFill>
              <w14:schemeClr w14:val="tx1"/>
            </w14:solidFill>
          </w14:textFill>
        </w:rPr>
        <w:t>第</w:t>
      </w:r>
      <w:r>
        <w:rPr>
          <w:rFonts w:hint="eastAsia" w:ascii="仿宋" w:hAnsi="仿宋" w:eastAsia="仿宋"/>
          <w:b/>
          <w:bCs/>
          <w:color w:val="000000" w:themeColor="text1"/>
          <w14:textFill>
            <w14:solidFill>
              <w14:schemeClr w14:val="tx1"/>
            </w14:solidFill>
          </w14:textFill>
        </w:rPr>
        <w:t>二十九</w:t>
      </w:r>
      <w:r>
        <w:rPr>
          <w:rFonts w:ascii="仿宋" w:hAnsi="仿宋" w:eastAsia="仿宋"/>
          <w:b/>
          <w:bCs/>
          <w:color w:val="000000" w:themeColor="text1"/>
          <w14:textFill>
            <w14:solidFill>
              <w14:schemeClr w14:val="tx1"/>
            </w14:solidFill>
          </w14:textFill>
        </w:rPr>
        <w:t>条</w:t>
      </w:r>
      <w:r>
        <w:rPr>
          <w:rFonts w:hint="eastAsia" w:ascii="仿宋" w:hAnsi="仿宋" w:eastAsia="仿宋"/>
          <w:color w:val="000000" w:themeColor="text1"/>
          <w14:textFill>
            <w14:solidFill>
              <w14:schemeClr w14:val="tx1"/>
            </w14:solidFill>
          </w14:textFill>
        </w:rPr>
        <w:t xml:space="preserve">  </w:t>
      </w:r>
      <w:r>
        <w:rPr>
          <w:rFonts w:ascii="仿宋" w:hAnsi="仿宋" w:eastAsia="仿宋"/>
          <w:color w:val="000000" w:themeColor="text1"/>
          <w14:textFill>
            <w14:solidFill>
              <w14:schemeClr w14:val="tx1"/>
            </w14:solidFill>
          </w14:textFill>
        </w:rPr>
        <w:t>对遵守本</w:t>
      </w:r>
      <w:r>
        <w:rPr>
          <w:rFonts w:hint="eastAsia" w:ascii="仿宋" w:hAnsi="仿宋" w:eastAsia="仿宋"/>
          <w:color w:val="000000" w:themeColor="text1"/>
          <w14:textFill>
            <w14:solidFill>
              <w14:schemeClr w14:val="tx1"/>
            </w14:solidFill>
          </w14:textFill>
        </w:rPr>
        <w:t>守则</w:t>
      </w:r>
      <w:r>
        <w:rPr>
          <w:rFonts w:ascii="仿宋" w:hAnsi="仿宋" w:eastAsia="仿宋"/>
          <w:color w:val="000000" w:themeColor="text1"/>
          <w14:textFill>
            <w14:solidFill>
              <w14:schemeClr w14:val="tx1"/>
            </w14:solidFill>
          </w14:textFill>
        </w:rPr>
        <w:t>的会员单位</w:t>
      </w:r>
      <w:r>
        <w:rPr>
          <w:rFonts w:hint="eastAsia" w:ascii="仿宋" w:hAnsi="仿宋" w:eastAsia="仿宋"/>
          <w:color w:val="000000" w:themeColor="text1"/>
          <w14:textFill>
            <w14:solidFill>
              <w14:schemeClr w14:val="tx1"/>
            </w14:solidFill>
          </w14:textFill>
        </w:rPr>
        <w:t>根据情况进行以下方式的</w:t>
      </w:r>
      <w:r>
        <w:rPr>
          <w:rFonts w:ascii="仿宋" w:hAnsi="仿宋" w:eastAsia="仿宋"/>
          <w:color w:val="000000" w:themeColor="text1"/>
          <w14:textFill>
            <w14:solidFill>
              <w14:schemeClr w14:val="tx1"/>
            </w14:solidFill>
          </w14:textFill>
        </w:rPr>
        <w:t>激励：</w:t>
      </w:r>
    </w:p>
    <w:p w14:paraId="3F3BDEB1">
      <w:pPr>
        <w:pStyle w:val="7"/>
        <w:widowControl/>
        <w:spacing w:beforeAutospacing="0" w:afterAutospacing="0" w:line="380" w:lineRule="exact"/>
        <w:rPr>
          <w:rFonts w:hint="eastAsia"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（一）网站、会刊宣传报道；</w:t>
      </w:r>
    </w:p>
    <w:p w14:paraId="16E0CE70">
      <w:pPr>
        <w:pStyle w:val="7"/>
        <w:widowControl/>
        <w:spacing w:beforeAutospacing="0" w:afterAutospacing="0" w:line="380" w:lineRule="exact"/>
        <w:rPr>
          <w:rFonts w:hint="eastAsia"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（二）通报表扬；</w:t>
      </w:r>
    </w:p>
    <w:p w14:paraId="7CD36556">
      <w:pPr>
        <w:pStyle w:val="7"/>
        <w:widowControl/>
        <w:spacing w:beforeAutospacing="0" w:afterAutospacing="0" w:line="380" w:lineRule="exact"/>
        <w:rPr>
          <w:rFonts w:hint="eastAsia"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（三）优先服务，优先推荐参加有关活动；</w:t>
      </w:r>
    </w:p>
    <w:p w14:paraId="22F708A2">
      <w:pPr>
        <w:pStyle w:val="7"/>
        <w:widowControl/>
        <w:spacing w:beforeAutospacing="0" w:afterAutospacing="0" w:line="380" w:lineRule="exact"/>
        <w:rPr>
          <w:rFonts w:hint="eastAsia"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（四）记入</w:t>
      </w:r>
      <w:r>
        <w:rPr>
          <w:rFonts w:hint="eastAsia" w:ascii="仿宋" w:hAnsi="仿宋" w:eastAsia="仿宋"/>
          <w:color w:val="000000" w:themeColor="text1"/>
          <w14:textFill>
            <w14:solidFill>
              <w14:schemeClr w14:val="tx1"/>
            </w14:solidFill>
          </w14:textFill>
        </w:rPr>
        <w:t>企业</w:t>
      </w:r>
      <w:r>
        <w:rPr>
          <w:rFonts w:ascii="仿宋" w:hAnsi="仿宋" w:eastAsia="仿宋"/>
          <w:color w:val="000000" w:themeColor="text1"/>
          <w14:textFill>
            <w14:solidFill>
              <w14:schemeClr w14:val="tx1"/>
            </w14:solidFill>
          </w14:textFill>
        </w:rPr>
        <w:t>信用档案。</w:t>
      </w:r>
    </w:p>
    <w:p w14:paraId="24850025">
      <w:pPr>
        <w:pStyle w:val="7"/>
        <w:widowControl/>
        <w:spacing w:beforeAutospacing="0" w:afterAutospacing="0" w:line="380" w:lineRule="exact"/>
        <w:ind w:firstLine="472" w:firstLineChars="196"/>
        <w:rPr>
          <w:rFonts w:hint="eastAsia" w:ascii="仿宋" w:hAnsi="仿宋" w:eastAsia="仿宋"/>
          <w:color w:val="000000" w:themeColor="text1"/>
          <w14:textFill>
            <w14:solidFill>
              <w14:schemeClr w14:val="tx1"/>
            </w14:solidFill>
          </w14:textFill>
        </w:rPr>
      </w:pPr>
      <w:r>
        <w:rPr>
          <w:rFonts w:ascii="仿宋" w:hAnsi="仿宋" w:eastAsia="仿宋"/>
          <w:b/>
          <w:bCs/>
          <w:color w:val="000000" w:themeColor="text1"/>
          <w14:textFill>
            <w14:solidFill>
              <w14:schemeClr w14:val="tx1"/>
            </w14:solidFill>
          </w14:textFill>
        </w:rPr>
        <w:t>第</w:t>
      </w:r>
      <w:r>
        <w:rPr>
          <w:rFonts w:hint="eastAsia" w:ascii="仿宋" w:hAnsi="仿宋" w:eastAsia="仿宋"/>
          <w:b/>
          <w:bCs/>
          <w:color w:val="000000" w:themeColor="text1"/>
          <w14:textFill>
            <w14:solidFill>
              <w14:schemeClr w14:val="tx1"/>
            </w14:solidFill>
          </w14:textFill>
        </w:rPr>
        <w:t>三十</w:t>
      </w:r>
      <w:r>
        <w:rPr>
          <w:rFonts w:ascii="仿宋" w:hAnsi="仿宋" w:eastAsia="仿宋"/>
          <w:b/>
          <w:bCs/>
          <w:color w:val="000000" w:themeColor="text1"/>
          <w14:textFill>
            <w14:solidFill>
              <w14:schemeClr w14:val="tx1"/>
            </w14:solidFill>
          </w14:textFill>
        </w:rPr>
        <w:t>条</w:t>
      </w:r>
      <w:r>
        <w:rPr>
          <w:rFonts w:hint="eastAsia" w:ascii="仿宋" w:hAnsi="仿宋" w:eastAsia="仿宋"/>
          <w:b/>
          <w:bCs/>
          <w:color w:val="000000" w:themeColor="text1"/>
          <w14:textFill>
            <w14:solidFill>
              <w14:schemeClr w14:val="tx1"/>
            </w14:solidFill>
          </w14:textFill>
        </w:rPr>
        <w:t xml:space="preserve">  </w:t>
      </w:r>
      <w:r>
        <w:rPr>
          <w:rFonts w:ascii="仿宋" w:hAnsi="仿宋" w:eastAsia="仿宋"/>
          <w:color w:val="000000" w:themeColor="text1"/>
          <w14:textFill>
            <w14:solidFill>
              <w14:schemeClr w14:val="tx1"/>
            </w14:solidFill>
          </w14:textFill>
        </w:rPr>
        <w:t>对违反本</w:t>
      </w:r>
      <w:r>
        <w:rPr>
          <w:rFonts w:hint="eastAsia" w:ascii="仿宋" w:hAnsi="仿宋" w:eastAsia="仿宋"/>
          <w:color w:val="000000" w:themeColor="text1"/>
          <w14:textFill>
            <w14:solidFill>
              <w14:schemeClr w14:val="tx1"/>
            </w14:solidFill>
          </w14:textFill>
        </w:rPr>
        <w:t>守则</w:t>
      </w:r>
      <w:r>
        <w:rPr>
          <w:rFonts w:ascii="仿宋" w:hAnsi="仿宋" w:eastAsia="仿宋"/>
          <w:color w:val="000000" w:themeColor="text1"/>
          <w14:textFill>
            <w14:solidFill>
              <w14:schemeClr w14:val="tx1"/>
            </w14:solidFill>
          </w14:textFill>
        </w:rPr>
        <w:t>的</w:t>
      </w:r>
      <w:r>
        <w:rPr>
          <w:rFonts w:hint="eastAsia" w:ascii="仿宋" w:hAnsi="仿宋" w:eastAsia="仿宋"/>
          <w:color w:val="000000" w:themeColor="text1"/>
          <w14:textFill>
            <w14:solidFill>
              <w14:schemeClr w14:val="tx1"/>
            </w14:solidFill>
          </w14:textFill>
        </w:rPr>
        <w:t>工程监理</w:t>
      </w:r>
      <w:r>
        <w:rPr>
          <w:rFonts w:ascii="仿宋" w:hAnsi="仿宋" w:eastAsia="仿宋"/>
          <w:color w:val="000000" w:themeColor="text1"/>
          <w14:textFill>
            <w14:solidFill>
              <w14:schemeClr w14:val="tx1"/>
            </w14:solidFill>
          </w14:textFill>
        </w:rPr>
        <w:t>单位</w:t>
      </w:r>
      <w:r>
        <w:rPr>
          <w:rFonts w:hint="eastAsia" w:ascii="仿宋" w:hAnsi="仿宋" w:eastAsia="仿宋"/>
          <w:color w:val="000000" w:themeColor="text1"/>
          <w14:textFill>
            <w14:solidFill>
              <w14:schemeClr w14:val="tx1"/>
            </w14:solidFill>
          </w14:textFill>
        </w:rPr>
        <w:t>根据情况进行以下方式的</w:t>
      </w:r>
      <w:r>
        <w:rPr>
          <w:rFonts w:ascii="仿宋" w:hAnsi="仿宋" w:eastAsia="仿宋"/>
          <w:color w:val="000000" w:themeColor="text1"/>
          <w14:textFill>
            <w14:solidFill>
              <w14:schemeClr w14:val="tx1"/>
            </w14:solidFill>
          </w14:textFill>
        </w:rPr>
        <w:t>惩戒：</w:t>
      </w:r>
    </w:p>
    <w:p w14:paraId="4C687D87">
      <w:pPr>
        <w:pStyle w:val="7"/>
        <w:widowControl/>
        <w:spacing w:beforeAutospacing="0" w:afterAutospacing="0" w:line="380" w:lineRule="exact"/>
        <w:rPr>
          <w:rFonts w:hint="eastAsia"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（一）批评教育，书面警告；</w:t>
      </w:r>
    </w:p>
    <w:p w14:paraId="5ABEA7C9">
      <w:pPr>
        <w:pStyle w:val="7"/>
        <w:widowControl/>
        <w:spacing w:beforeAutospacing="0" w:afterAutospacing="0" w:line="380" w:lineRule="exact"/>
        <w:rPr>
          <w:rFonts w:hint="eastAsia"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（二）通报整改，降低</w:t>
      </w:r>
      <w:r>
        <w:rPr>
          <w:rFonts w:hint="eastAsia" w:ascii="仿宋" w:hAnsi="仿宋" w:eastAsia="仿宋"/>
          <w:color w:val="000000" w:themeColor="text1"/>
          <w14:textFill>
            <w14:solidFill>
              <w14:schemeClr w14:val="tx1"/>
            </w14:solidFill>
          </w14:textFill>
        </w:rPr>
        <w:t>单位</w:t>
      </w:r>
      <w:r>
        <w:rPr>
          <w:rFonts w:ascii="仿宋" w:hAnsi="仿宋" w:eastAsia="仿宋"/>
          <w:color w:val="000000" w:themeColor="text1"/>
          <w14:textFill>
            <w14:solidFill>
              <w14:schemeClr w14:val="tx1"/>
            </w14:solidFill>
          </w14:textFill>
        </w:rPr>
        <w:t>信用等级；</w:t>
      </w:r>
    </w:p>
    <w:p w14:paraId="1345DBAA">
      <w:pPr>
        <w:pStyle w:val="7"/>
        <w:widowControl/>
        <w:spacing w:beforeAutospacing="0" w:afterAutospacing="0" w:line="380" w:lineRule="exact"/>
        <w:rPr>
          <w:rFonts w:hint="eastAsia"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（三）记入</w:t>
      </w:r>
      <w:r>
        <w:rPr>
          <w:rFonts w:hint="eastAsia" w:ascii="仿宋" w:hAnsi="仿宋" w:eastAsia="仿宋"/>
          <w:color w:val="000000" w:themeColor="text1"/>
          <w14:textFill>
            <w14:solidFill>
              <w14:schemeClr w14:val="tx1"/>
            </w14:solidFill>
          </w14:textFill>
        </w:rPr>
        <w:t>企业</w:t>
      </w:r>
      <w:r>
        <w:rPr>
          <w:rFonts w:ascii="仿宋" w:hAnsi="仿宋" w:eastAsia="仿宋"/>
          <w:color w:val="000000" w:themeColor="text1"/>
          <w14:textFill>
            <w14:solidFill>
              <w14:schemeClr w14:val="tx1"/>
            </w14:solidFill>
          </w14:textFill>
        </w:rPr>
        <w:t>信用档案</w:t>
      </w:r>
      <w:r>
        <w:rPr>
          <w:rFonts w:hint="eastAsia" w:ascii="仿宋" w:hAnsi="仿宋" w:eastAsia="仿宋"/>
          <w:color w:val="000000" w:themeColor="text1"/>
          <w14:textFill>
            <w14:solidFill>
              <w14:schemeClr w14:val="tx1"/>
            </w14:solidFill>
          </w14:textFill>
        </w:rPr>
        <w:t>。</w:t>
      </w:r>
    </w:p>
    <w:p w14:paraId="6CF61942">
      <w:pPr>
        <w:pStyle w:val="7"/>
        <w:widowControl/>
        <w:spacing w:beforeAutospacing="0" w:afterAutospacing="0" w:line="380" w:lineRule="exact"/>
        <w:ind w:firstLine="472" w:firstLineChars="196"/>
        <w:rPr>
          <w:rFonts w:hint="eastAsia" w:ascii="仿宋" w:hAnsi="仿宋" w:eastAsia="仿宋"/>
          <w:color w:val="000000" w:themeColor="text1"/>
          <w14:textFill>
            <w14:solidFill>
              <w14:schemeClr w14:val="tx1"/>
            </w14:solidFill>
          </w14:textFill>
        </w:rPr>
      </w:pPr>
      <w:r>
        <w:rPr>
          <w:rFonts w:ascii="仿宋" w:hAnsi="仿宋" w:eastAsia="仿宋"/>
          <w:b/>
          <w:bCs/>
          <w:color w:val="000000" w:themeColor="text1"/>
          <w14:textFill>
            <w14:solidFill>
              <w14:schemeClr w14:val="tx1"/>
            </w14:solidFill>
          </w14:textFill>
        </w:rPr>
        <w:t>第</w:t>
      </w:r>
      <w:r>
        <w:rPr>
          <w:rFonts w:hint="eastAsia" w:ascii="仿宋" w:hAnsi="仿宋" w:eastAsia="仿宋"/>
          <w:b/>
          <w:bCs/>
          <w:color w:val="000000" w:themeColor="text1"/>
          <w14:textFill>
            <w14:solidFill>
              <w14:schemeClr w14:val="tx1"/>
            </w14:solidFill>
          </w14:textFill>
        </w:rPr>
        <w:t>三十一</w:t>
      </w:r>
      <w:r>
        <w:rPr>
          <w:rFonts w:ascii="仿宋" w:hAnsi="仿宋" w:eastAsia="仿宋"/>
          <w:b/>
          <w:bCs/>
          <w:color w:val="000000" w:themeColor="text1"/>
          <w14:textFill>
            <w14:solidFill>
              <w14:schemeClr w14:val="tx1"/>
            </w14:solidFill>
          </w14:textFill>
        </w:rPr>
        <w:t>条</w:t>
      </w:r>
      <w:r>
        <w:rPr>
          <w:rFonts w:hint="eastAsia" w:ascii="仿宋" w:hAnsi="仿宋" w:eastAsia="仿宋"/>
          <w:b/>
          <w:bCs/>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 xml:space="preserve"> </w:t>
      </w:r>
      <w:r>
        <w:rPr>
          <w:rFonts w:ascii="仿宋" w:hAnsi="仿宋" w:eastAsia="仿宋"/>
          <w:color w:val="000000" w:themeColor="text1"/>
          <w14:textFill>
            <w14:solidFill>
              <w14:schemeClr w14:val="tx1"/>
            </w14:solidFill>
          </w14:textFill>
        </w:rPr>
        <w:t>本</w:t>
      </w:r>
      <w:r>
        <w:rPr>
          <w:rFonts w:hint="eastAsia" w:ascii="仿宋" w:hAnsi="仿宋" w:eastAsia="仿宋"/>
          <w:color w:val="000000" w:themeColor="text1"/>
          <w14:textFill>
            <w14:solidFill>
              <w14:schemeClr w14:val="tx1"/>
            </w14:solidFill>
          </w14:textFill>
        </w:rPr>
        <w:t>工作守则</w:t>
      </w:r>
      <w:r>
        <w:rPr>
          <w:rFonts w:ascii="仿宋" w:hAnsi="仿宋" w:eastAsia="仿宋"/>
          <w:color w:val="000000" w:themeColor="text1"/>
          <w14:textFill>
            <w14:solidFill>
              <w14:schemeClr w14:val="tx1"/>
            </w14:solidFill>
          </w14:textFill>
        </w:rPr>
        <w:t>由</w:t>
      </w:r>
      <w:r>
        <w:rPr>
          <w:rFonts w:hint="eastAsia" w:ascii="仿宋" w:hAnsi="仿宋" w:eastAsia="仿宋"/>
          <w:color w:val="000000" w:themeColor="text1"/>
          <w14:textFill>
            <w14:solidFill>
              <w14:schemeClr w14:val="tx1"/>
            </w14:solidFill>
          </w14:textFill>
        </w:rPr>
        <w:t>珠海市建设监理</w:t>
      </w:r>
      <w:r>
        <w:rPr>
          <w:rFonts w:ascii="仿宋" w:hAnsi="仿宋" w:eastAsia="仿宋"/>
          <w:color w:val="000000" w:themeColor="text1"/>
          <w14:textFill>
            <w14:solidFill>
              <w14:schemeClr w14:val="tx1"/>
            </w14:solidFill>
          </w14:textFill>
        </w:rPr>
        <w:t>协会负责解释。</w:t>
      </w:r>
    </w:p>
    <w:p w14:paraId="349CCC04">
      <w:pPr>
        <w:pStyle w:val="7"/>
        <w:widowControl/>
        <w:spacing w:beforeAutospacing="0" w:afterAutospacing="0" w:line="380" w:lineRule="exact"/>
        <w:ind w:firstLine="472" w:firstLineChars="196"/>
        <w:rPr>
          <w:rFonts w:hint="eastAsia" w:ascii="仿宋" w:hAnsi="仿宋" w:eastAsia="仿宋"/>
          <w:color w:val="000000" w:themeColor="text1"/>
          <w14:textFill>
            <w14:solidFill>
              <w14:schemeClr w14:val="tx1"/>
            </w14:solidFill>
          </w14:textFill>
        </w:rPr>
      </w:pPr>
      <w:r>
        <w:rPr>
          <w:rFonts w:ascii="仿宋" w:hAnsi="仿宋" w:eastAsia="仿宋"/>
          <w:b/>
          <w:bCs/>
          <w:color w:val="000000" w:themeColor="text1"/>
          <w14:textFill>
            <w14:solidFill>
              <w14:schemeClr w14:val="tx1"/>
            </w14:solidFill>
          </w14:textFill>
        </w:rPr>
        <w:t>第三十</w:t>
      </w:r>
      <w:r>
        <w:rPr>
          <w:rFonts w:hint="eastAsia" w:ascii="仿宋" w:hAnsi="仿宋" w:eastAsia="仿宋"/>
          <w:b/>
          <w:bCs/>
          <w:color w:val="000000" w:themeColor="text1"/>
          <w14:textFill>
            <w14:solidFill>
              <w14:schemeClr w14:val="tx1"/>
            </w14:solidFill>
          </w14:textFill>
        </w:rPr>
        <w:t>二</w:t>
      </w:r>
      <w:r>
        <w:rPr>
          <w:rFonts w:ascii="仿宋" w:hAnsi="仿宋" w:eastAsia="仿宋"/>
          <w:b/>
          <w:bCs/>
          <w:color w:val="000000" w:themeColor="text1"/>
          <w14:textFill>
            <w14:solidFill>
              <w14:schemeClr w14:val="tx1"/>
            </w14:solidFill>
          </w14:textFill>
        </w:rPr>
        <w:t>条</w:t>
      </w:r>
      <w:r>
        <w:rPr>
          <w:rFonts w:hint="eastAsia" w:ascii="仿宋" w:hAnsi="仿宋" w:eastAsia="仿宋"/>
          <w:color w:val="000000" w:themeColor="text1"/>
          <w14:textFill>
            <w14:solidFill>
              <w14:schemeClr w14:val="tx1"/>
            </w14:solidFill>
          </w14:textFill>
        </w:rPr>
        <w:t xml:space="preserve">  </w:t>
      </w:r>
      <w:r>
        <w:rPr>
          <w:rFonts w:ascii="仿宋" w:hAnsi="仿宋" w:eastAsia="仿宋"/>
          <w:color w:val="000000" w:themeColor="text1"/>
          <w14:textFill>
            <w14:solidFill>
              <w14:schemeClr w14:val="tx1"/>
            </w14:solidFill>
          </w14:textFill>
        </w:rPr>
        <w:t>本</w:t>
      </w:r>
      <w:r>
        <w:rPr>
          <w:rFonts w:hint="eastAsia" w:ascii="仿宋" w:hAnsi="仿宋" w:eastAsia="仿宋"/>
          <w:color w:val="000000" w:themeColor="text1"/>
          <w14:textFill>
            <w14:solidFill>
              <w14:schemeClr w14:val="tx1"/>
            </w14:solidFill>
          </w14:textFill>
        </w:rPr>
        <w:t>工作守则</w:t>
      </w:r>
      <w:r>
        <w:rPr>
          <w:rFonts w:ascii="仿宋" w:hAnsi="仿宋" w:eastAsia="仿宋"/>
          <w:color w:val="000000" w:themeColor="text1"/>
          <w14:textFill>
            <w14:solidFill>
              <w14:schemeClr w14:val="tx1"/>
            </w14:solidFill>
          </w14:textFill>
        </w:rPr>
        <w:t>自协会</w:t>
      </w:r>
      <w:r>
        <w:rPr>
          <w:rFonts w:hint="eastAsia" w:ascii="仿宋" w:hAnsi="仿宋" w:eastAsia="仿宋"/>
          <w:color w:val="000000" w:themeColor="text1"/>
          <w14:textFill>
            <w14:solidFill>
              <w14:schemeClr w14:val="tx1"/>
            </w14:solidFill>
          </w14:textFill>
        </w:rPr>
        <w:t>第五届</w:t>
      </w:r>
      <w:r>
        <w:rPr>
          <w:rFonts w:ascii="仿宋" w:hAnsi="仿宋" w:eastAsia="仿宋"/>
          <w:color w:val="000000" w:themeColor="text1"/>
          <w14:textFill>
            <w14:solidFill>
              <w14:schemeClr w14:val="tx1"/>
            </w14:solidFill>
          </w14:textFill>
        </w:rPr>
        <w:t>理事会审议通过之日起实施。</w:t>
      </w:r>
    </w:p>
    <w:p w14:paraId="4BC122A8">
      <w:pPr>
        <w:spacing w:line="380" w:lineRule="exact"/>
        <w:jc w:val="right"/>
        <w:rPr>
          <w:rFonts w:hint="eastAsia" w:ascii="仿宋" w:hAnsi="仿宋" w:eastAsia="仿宋"/>
          <w:color w:val="000000" w:themeColor="text1"/>
          <w:sz w:val="24"/>
          <w14:textFill>
            <w14:solidFill>
              <w14:schemeClr w14:val="tx1"/>
            </w14:solidFill>
          </w14:textFill>
        </w:rPr>
      </w:pPr>
    </w:p>
    <w:p w14:paraId="555B3255">
      <w:pPr>
        <w:spacing w:line="380" w:lineRule="exact"/>
        <w:jc w:val="right"/>
        <w:rPr>
          <w:rFonts w:hint="eastAsia" w:ascii="仿宋" w:hAnsi="仿宋" w:eastAsia="仿宋"/>
          <w:color w:val="000000" w:themeColor="text1"/>
          <w:sz w:val="24"/>
          <w14:textFill>
            <w14:solidFill>
              <w14:schemeClr w14:val="tx1"/>
            </w14:solidFill>
          </w14:textFill>
        </w:rPr>
      </w:pPr>
    </w:p>
    <w:p w14:paraId="5E0A08DE">
      <w:pPr>
        <w:spacing w:line="380" w:lineRule="exact"/>
        <w:jc w:val="right"/>
        <w:rPr>
          <w:rFonts w:hint="eastAsia" w:ascii="仿宋" w:hAnsi="仿宋" w:eastAsia="仿宋"/>
          <w:color w:val="000000" w:themeColor="text1"/>
          <w:sz w:val="24"/>
          <w14:textFill>
            <w14:solidFill>
              <w14:schemeClr w14:val="tx1"/>
            </w14:solidFill>
          </w14:textFill>
        </w:rPr>
      </w:pPr>
    </w:p>
    <w:p w14:paraId="1ABFE7F2">
      <w:pPr>
        <w:spacing w:line="380" w:lineRule="exact"/>
        <w:jc w:val="right"/>
        <w:rPr>
          <w:rFonts w:hint="eastAsia" w:ascii="仿宋" w:hAnsi="仿宋" w:eastAsia="仿宋"/>
          <w:color w:val="000000" w:themeColor="text1"/>
          <w:kern w:val="0"/>
          <w:sz w:val="24"/>
          <w:lang w:bidi="ar"/>
          <w14:textFill>
            <w14:solidFill>
              <w14:schemeClr w14:val="tx1"/>
            </w14:solidFill>
          </w14:textFill>
        </w:rPr>
      </w:pPr>
      <w:r>
        <w:rPr>
          <w:rFonts w:hint="eastAsia" w:ascii="仿宋" w:hAnsi="仿宋" w:eastAsia="仿宋"/>
          <w:color w:val="000000" w:themeColor="text1"/>
          <w:kern w:val="0"/>
          <w:sz w:val="24"/>
          <w:lang w:bidi="ar"/>
          <w14:textFill>
            <w14:solidFill>
              <w14:schemeClr w14:val="tx1"/>
            </w14:solidFill>
          </w14:textFill>
        </w:rPr>
        <w:t>珠海市建</w:t>
      </w:r>
      <w:r>
        <w:drawing>
          <wp:anchor distT="0" distB="0" distL="114300" distR="114300" simplePos="0" relativeHeight="251660288" behindDoc="0" locked="0" layoutInCell="1" allowOverlap="1">
            <wp:simplePos x="0" y="0"/>
            <wp:positionH relativeFrom="column">
              <wp:posOffset>4066540</wp:posOffset>
            </wp:positionH>
            <wp:positionV relativeFrom="paragraph">
              <wp:posOffset>-490220</wp:posOffset>
            </wp:positionV>
            <wp:extent cx="1397000" cy="1397000"/>
            <wp:effectExtent l="0" t="0" r="12700" b="1270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397000" cy="1397000"/>
                    </a:xfrm>
                    <a:prstGeom prst="rect">
                      <a:avLst/>
                    </a:prstGeom>
                    <a:noFill/>
                    <a:ln>
                      <a:noFill/>
                    </a:ln>
                  </pic:spPr>
                </pic:pic>
              </a:graphicData>
            </a:graphic>
          </wp:anchor>
        </w:drawing>
      </w:r>
      <w:r>
        <w:rPr>
          <w:rFonts w:hint="eastAsia" w:ascii="仿宋" w:hAnsi="仿宋" w:eastAsia="仿宋"/>
          <w:color w:val="000000" w:themeColor="text1"/>
          <w:kern w:val="0"/>
          <w:sz w:val="24"/>
          <w:lang w:bidi="ar"/>
          <w14:textFill>
            <w14:solidFill>
              <w14:schemeClr w14:val="tx1"/>
            </w14:solidFill>
          </w14:textFill>
        </w:rPr>
        <w:t>设监理</w:t>
      </w:r>
      <w:r>
        <w:rPr>
          <w:rFonts w:ascii="仿宋" w:hAnsi="仿宋" w:eastAsia="仿宋"/>
          <w:color w:val="000000" w:themeColor="text1"/>
          <w:kern w:val="0"/>
          <w:sz w:val="24"/>
          <w:lang w:bidi="ar"/>
          <w14:textFill>
            <w14:solidFill>
              <w14:schemeClr w14:val="tx1"/>
            </w14:solidFill>
          </w14:textFill>
        </w:rPr>
        <w:t>协会</w:t>
      </w:r>
    </w:p>
    <w:p w14:paraId="2CB018F0">
      <w:pPr>
        <w:spacing w:line="420" w:lineRule="exact"/>
        <w:ind w:right="480"/>
        <w:jc w:val="righ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kern w:val="0"/>
          <w:sz w:val="24"/>
          <w:lang w:bidi="ar"/>
          <w14:textFill>
            <w14:solidFill>
              <w14:schemeClr w14:val="tx1"/>
            </w14:solidFill>
          </w14:textFill>
        </w:rPr>
        <w:t>2025年3月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E88094"/>
    <w:multiLevelType w:val="singleLevel"/>
    <w:tmpl w:val="E5E88094"/>
    <w:lvl w:ilvl="0" w:tentative="0">
      <w:start w:val="1"/>
      <w:numFmt w:val="chineseCounting"/>
      <w:suff w:val="nothing"/>
      <w:lvlText w:val="（%1）"/>
      <w:lvlJc w:val="left"/>
      <w:rPr>
        <w:rFonts w:hint="eastAsia"/>
      </w:rPr>
    </w:lvl>
  </w:abstractNum>
  <w:abstractNum w:abstractNumId="1">
    <w:nsid w:val="E66137E6"/>
    <w:multiLevelType w:val="singleLevel"/>
    <w:tmpl w:val="E66137E6"/>
    <w:lvl w:ilvl="0" w:tentative="0">
      <w:start w:val="3"/>
      <w:numFmt w:val="chineseCounting"/>
      <w:suff w:val="space"/>
      <w:lvlText w:val="第%1章"/>
      <w:lvlJc w:val="left"/>
      <w:rPr>
        <w:rFonts w:hint="eastAsia"/>
      </w:rPr>
    </w:lvl>
  </w:abstractNum>
  <w:abstractNum w:abstractNumId="2">
    <w:nsid w:val="582FDE91"/>
    <w:multiLevelType w:val="singleLevel"/>
    <w:tmpl w:val="582FDE91"/>
    <w:lvl w:ilvl="0" w:tentative="0">
      <w:start w:val="1"/>
      <w:numFmt w:val="chineseCounting"/>
      <w:suff w:val="nothing"/>
      <w:lvlText w:val="（%1）"/>
      <w:lvlJc w:val="left"/>
      <w:rPr>
        <w:rFonts w:hint="eastAsia"/>
      </w:rPr>
    </w:lvl>
  </w:abstractNum>
  <w:abstractNum w:abstractNumId="3">
    <w:nsid w:val="7B9AFD9C"/>
    <w:multiLevelType w:val="singleLevel"/>
    <w:tmpl w:val="7B9AFD9C"/>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857"/>
    <w:rsid w:val="00066BBC"/>
    <w:rsid w:val="00085C9A"/>
    <w:rsid w:val="0009069D"/>
    <w:rsid w:val="000A1207"/>
    <w:rsid w:val="000E22C9"/>
    <w:rsid w:val="000E72A1"/>
    <w:rsid w:val="001135A9"/>
    <w:rsid w:val="001404E6"/>
    <w:rsid w:val="00141C8E"/>
    <w:rsid w:val="00146267"/>
    <w:rsid w:val="001C4A1F"/>
    <w:rsid w:val="001C4F7B"/>
    <w:rsid w:val="00250752"/>
    <w:rsid w:val="00327C51"/>
    <w:rsid w:val="003D252F"/>
    <w:rsid w:val="00433D96"/>
    <w:rsid w:val="005233B9"/>
    <w:rsid w:val="0055282D"/>
    <w:rsid w:val="00554E99"/>
    <w:rsid w:val="00601C51"/>
    <w:rsid w:val="00634CE6"/>
    <w:rsid w:val="006C619A"/>
    <w:rsid w:val="006D0CE6"/>
    <w:rsid w:val="006E34A4"/>
    <w:rsid w:val="00770905"/>
    <w:rsid w:val="00793B37"/>
    <w:rsid w:val="00874857"/>
    <w:rsid w:val="00893448"/>
    <w:rsid w:val="008A4D48"/>
    <w:rsid w:val="008C5E1D"/>
    <w:rsid w:val="008E6E2B"/>
    <w:rsid w:val="009005BC"/>
    <w:rsid w:val="0097342F"/>
    <w:rsid w:val="009B040D"/>
    <w:rsid w:val="009D3009"/>
    <w:rsid w:val="00AF278B"/>
    <w:rsid w:val="00B132AA"/>
    <w:rsid w:val="00B61D12"/>
    <w:rsid w:val="00BD7401"/>
    <w:rsid w:val="00C11011"/>
    <w:rsid w:val="00E3257D"/>
    <w:rsid w:val="00EB7747"/>
    <w:rsid w:val="00EC544C"/>
    <w:rsid w:val="00ED63CE"/>
    <w:rsid w:val="00F7595F"/>
    <w:rsid w:val="00F81277"/>
    <w:rsid w:val="00F91EA2"/>
    <w:rsid w:val="015C2B0C"/>
    <w:rsid w:val="019978BC"/>
    <w:rsid w:val="023F2212"/>
    <w:rsid w:val="02BC533F"/>
    <w:rsid w:val="04117BDE"/>
    <w:rsid w:val="04DC643E"/>
    <w:rsid w:val="04FF212C"/>
    <w:rsid w:val="05E80E12"/>
    <w:rsid w:val="06344057"/>
    <w:rsid w:val="06AB3C08"/>
    <w:rsid w:val="071164F1"/>
    <w:rsid w:val="078759CF"/>
    <w:rsid w:val="082231C0"/>
    <w:rsid w:val="085A1F7A"/>
    <w:rsid w:val="08DC4C5E"/>
    <w:rsid w:val="0A650C83"/>
    <w:rsid w:val="0A8D3736"/>
    <w:rsid w:val="0AD40F33"/>
    <w:rsid w:val="0B0A6E79"/>
    <w:rsid w:val="0D8B6C53"/>
    <w:rsid w:val="0FA91612"/>
    <w:rsid w:val="0FEE34C9"/>
    <w:rsid w:val="11F9035E"/>
    <w:rsid w:val="121F5BBC"/>
    <w:rsid w:val="12FA36E0"/>
    <w:rsid w:val="16020CC4"/>
    <w:rsid w:val="160719A4"/>
    <w:rsid w:val="165F6ECF"/>
    <w:rsid w:val="171F6FFA"/>
    <w:rsid w:val="175768C1"/>
    <w:rsid w:val="17962524"/>
    <w:rsid w:val="191E1005"/>
    <w:rsid w:val="192A5572"/>
    <w:rsid w:val="1A3A17E5"/>
    <w:rsid w:val="1A5F56EF"/>
    <w:rsid w:val="1BC83BFA"/>
    <w:rsid w:val="1C4921B3"/>
    <w:rsid w:val="1C4D4C06"/>
    <w:rsid w:val="1D721295"/>
    <w:rsid w:val="201F388E"/>
    <w:rsid w:val="20DF4E94"/>
    <w:rsid w:val="217575A6"/>
    <w:rsid w:val="21B032A9"/>
    <w:rsid w:val="22EC1AEA"/>
    <w:rsid w:val="25AC5561"/>
    <w:rsid w:val="26506346"/>
    <w:rsid w:val="268A79ED"/>
    <w:rsid w:val="27C60B5C"/>
    <w:rsid w:val="28F74D45"/>
    <w:rsid w:val="29FA5238"/>
    <w:rsid w:val="2CB171DD"/>
    <w:rsid w:val="2D2363F2"/>
    <w:rsid w:val="2D29183A"/>
    <w:rsid w:val="2F68074A"/>
    <w:rsid w:val="314D409C"/>
    <w:rsid w:val="32C65EB4"/>
    <w:rsid w:val="32FC18D5"/>
    <w:rsid w:val="33527747"/>
    <w:rsid w:val="34B63D06"/>
    <w:rsid w:val="34E322C2"/>
    <w:rsid w:val="357E2A76"/>
    <w:rsid w:val="35810BB0"/>
    <w:rsid w:val="373158C6"/>
    <w:rsid w:val="389205E6"/>
    <w:rsid w:val="38B92017"/>
    <w:rsid w:val="38CF77D3"/>
    <w:rsid w:val="39705A1F"/>
    <w:rsid w:val="399C1C73"/>
    <w:rsid w:val="3DC56D68"/>
    <w:rsid w:val="3E824374"/>
    <w:rsid w:val="3F2277D2"/>
    <w:rsid w:val="401D10DD"/>
    <w:rsid w:val="411029F0"/>
    <w:rsid w:val="42FC147E"/>
    <w:rsid w:val="45666669"/>
    <w:rsid w:val="46C82A52"/>
    <w:rsid w:val="46FC7C9E"/>
    <w:rsid w:val="48091A67"/>
    <w:rsid w:val="49856E98"/>
    <w:rsid w:val="4A643384"/>
    <w:rsid w:val="4AC00FE3"/>
    <w:rsid w:val="4BB02A71"/>
    <w:rsid w:val="4D41465D"/>
    <w:rsid w:val="4D612A57"/>
    <w:rsid w:val="4D8C3FDC"/>
    <w:rsid w:val="502B33A2"/>
    <w:rsid w:val="505E147E"/>
    <w:rsid w:val="51E47CAD"/>
    <w:rsid w:val="529500F4"/>
    <w:rsid w:val="531B14AC"/>
    <w:rsid w:val="533E5014"/>
    <w:rsid w:val="553C395C"/>
    <w:rsid w:val="5677797E"/>
    <w:rsid w:val="56FB5B7F"/>
    <w:rsid w:val="5764711E"/>
    <w:rsid w:val="57AA72A2"/>
    <w:rsid w:val="58DF11CE"/>
    <w:rsid w:val="59617E35"/>
    <w:rsid w:val="5A47702B"/>
    <w:rsid w:val="5A504131"/>
    <w:rsid w:val="5A64198B"/>
    <w:rsid w:val="5B0410A5"/>
    <w:rsid w:val="5B57504B"/>
    <w:rsid w:val="5BBA1543"/>
    <w:rsid w:val="5BFDE52E"/>
    <w:rsid w:val="5D79399F"/>
    <w:rsid w:val="5EFD23AE"/>
    <w:rsid w:val="60B94350"/>
    <w:rsid w:val="60F248E5"/>
    <w:rsid w:val="61145041"/>
    <w:rsid w:val="618477EA"/>
    <w:rsid w:val="62A74B0A"/>
    <w:rsid w:val="62BB6808"/>
    <w:rsid w:val="632F109E"/>
    <w:rsid w:val="63D7A0AA"/>
    <w:rsid w:val="65006754"/>
    <w:rsid w:val="65F31E15"/>
    <w:rsid w:val="665054B9"/>
    <w:rsid w:val="66812EA1"/>
    <w:rsid w:val="66E04A8F"/>
    <w:rsid w:val="67945BED"/>
    <w:rsid w:val="6BD3071E"/>
    <w:rsid w:val="6C8163CC"/>
    <w:rsid w:val="6CE67F68"/>
    <w:rsid w:val="6D480C98"/>
    <w:rsid w:val="6E27223F"/>
    <w:rsid w:val="6E8B1784"/>
    <w:rsid w:val="6EA75E92"/>
    <w:rsid w:val="6F8546F5"/>
    <w:rsid w:val="705067E1"/>
    <w:rsid w:val="70C45A29"/>
    <w:rsid w:val="730E270A"/>
    <w:rsid w:val="74DB6895"/>
    <w:rsid w:val="75CB0E35"/>
    <w:rsid w:val="76E45ED5"/>
    <w:rsid w:val="79B7342D"/>
    <w:rsid w:val="79EE0E19"/>
    <w:rsid w:val="79F04B91"/>
    <w:rsid w:val="7C8A4368"/>
    <w:rsid w:val="7CBE3DDC"/>
    <w:rsid w:val="7D40198C"/>
    <w:rsid w:val="7DCF4ABD"/>
    <w:rsid w:val="7EB8012D"/>
    <w:rsid w:val="7FFF2539"/>
    <w:rsid w:val="A7F04012"/>
    <w:rsid w:val="DDF38FA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4"/>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annotation reference"/>
    <w:basedOn w:val="9"/>
    <w:qFormat/>
    <w:uiPriority w:val="0"/>
    <w:rPr>
      <w:sz w:val="21"/>
      <w:szCs w:val="21"/>
    </w:rPr>
  </w:style>
  <w:style w:type="character" w:customStyle="1" w:styleId="12">
    <w:name w:val="页眉 字符"/>
    <w:basedOn w:val="9"/>
    <w:link w:val="6"/>
    <w:qFormat/>
    <w:uiPriority w:val="0"/>
    <w:rPr>
      <w:kern w:val="2"/>
      <w:sz w:val="18"/>
      <w:szCs w:val="18"/>
    </w:rPr>
  </w:style>
  <w:style w:type="character" w:customStyle="1" w:styleId="13">
    <w:name w:val="页脚 字符"/>
    <w:basedOn w:val="9"/>
    <w:link w:val="5"/>
    <w:qFormat/>
    <w:uiPriority w:val="0"/>
    <w:rPr>
      <w:kern w:val="2"/>
      <w:sz w:val="18"/>
      <w:szCs w:val="18"/>
    </w:rPr>
  </w:style>
  <w:style w:type="character" w:customStyle="1" w:styleId="14">
    <w:name w:val="批注框文本 字符"/>
    <w:basedOn w:val="9"/>
    <w:link w:val="4"/>
    <w:qFormat/>
    <w:uiPriority w:val="0"/>
    <w:rPr>
      <w:kern w:val="2"/>
      <w:sz w:val="18"/>
      <w:szCs w:val="18"/>
    </w:rPr>
  </w:style>
  <w:style w:type="paragraph" w:customStyle="1" w:styleId="15">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5590</Words>
  <Characters>5597</Characters>
  <Lines>41</Lines>
  <Paragraphs>11</Paragraphs>
  <TotalTime>2</TotalTime>
  <ScaleCrop>false</ScaleCrop>
  <LinksUpToDate>false</LinksUpToDate>
  <CharactersWithSpaces>5678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2025-03-04T04:03:00Z</dcterms:created>
  <dc:creator>杨胜强</dc:creator>
  <cp:lastModifiedBy>卷卷</cp:lastModifiedBy>
  <dcterms:modified xsi:type="dcterms:W3CDTF">2025-03-04T06:28:39Z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eyJoZGlkIjoiMTMyY2FkMTc4OTI3ZmFkOGZlZWU1NDJkNTUxNzFjOTMiLCJ1c2VySWQiOiIzODkzNzY1NDkifQ==</vt:lpwstr>
  </property>
  <property fmtid="{D5CDD505-2E9C-101B-9397-08002B2CF9AE}" pid="4" name="ICV">
    <vt:lpwstr>56D45F9BD34C4001B7ECFEA9C4F11BA6_13</vt:lpwstr>
  </property>
</Properties>
</file>